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208" w:after="0"/>
        <w:ind w:left="0" w:right="282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MORTGAGE  (AMENDMENT)</w:t>
      </w:r>
    </w:p>
    <w:p>
      <w:pPr>
        <w:autoSpaceDN w:val="0"/>
        <w:autoSpaceDE w:val="0"/>
        <w:widowControl/>
        <w:spacing w:line="238" w:lineRule="auto" w:before="248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320" w:after="0"/>
        <w:ind w:left="0" w:right="287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to amend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Mortgage Act (Chapter 89)</w:t>
      </w:r>
    </w:p>
    <w:p>
      <w:pPr>
        <w:autoSpaceDN w:val="0"/>
        <w:autoSpaceDE w:val="0"/>
        <w:widowControl/>
        <w:spacing w:line="235" w:lineRule="auto" w:before="29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72" w:after="0"/>
        <w:ind w:left="190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Finance 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23rd of October, 2019</w:t>
      </w:r>
    </w:p>
    <w:p>
      <w:pPr>
        <w:autoSpaceDN w:val="0"/>
        <w:autoSpaceDE w:val="0"/>
        <w:widowControl/>
        <w:spacing w:line="235" w:lineRule="auto" w:before="326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August 09, 2019)</w:t>
      </w:r>
    </w:p>
    <w:p>
      <w:pPr>
        <w:autoSpaceDN w:val="0"/>
        <w:autoSpaceDE w:val="0"/>
        <w:widowControl/>
        <w:spacing w:line="238" w:lineRule="auto" w:before="33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3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304]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0" w:after="0"/>
        <w:ind w:left="1436" w:right="125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>: This clause inserts the new section 68</w:t>
      </w:r>
      <w:r>
        <w:rPr>
          <w:rFonts w:ascii="Times" w:hAnsi="Times" w:eastAsia="Times"/>
          <w:b w:val="0"/>
          <w:i w:val="0"/>
          <w:color w:val="000000"/>
          <w:sz w:val="1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Mortgage Act (Chapter 89),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the legal effect of that section is to limit the applicability of Part III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Mortgage Act in relation to movable property upon coming into operation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>Secured Transactions Act, No. of 2019.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5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Mortgage  (Amendment)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276" w:val="left"/>
        </w:tabs>
        <w:autoSpaceDE w:val="0"/>
        <w:widowControl/>
        <w:spacing w:line="415" w:lineRule="auto" w:before="452" w:after="0"/>
        <w:ind w:left="17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65/2017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ORTGAGE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89)</w:t>
      </w:r>
    </w:p>
    <w:p>
      <w:pPr>
        <w:autoSpaceDN w:val="0"/>
        <w:autoSpaceDE w:val="0"/>
        <w:widowControl/>
        <w:spacing w:line="235" w:lineRule="auto" w:before="34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it enacted by the Parliament of the Democratic Socialist</w:t>
      </w:r>
    </w:p>
    <w:p>
      <w:pPr>
        <w:autoSpaceDN w:val="0"/>
        <w:autoSpaceDE w:val="0"/>
        <w:widowControl/>
        <w:spacing w:line="238" w:lineRule="auto" w:before="58" w:after="28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Mortgage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    of 2019 and shall come into operation 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date as the Minister may appoint by Order published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8" w:after="2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68 of the Mortgage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2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89) and shall have effect as section 68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89.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78" w:right="8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Part III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96" w:after="0"/>
              <w:ind w:left="98" w:right="0" w:firstLine="23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Part III of this Act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only apply to any movable property in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far as they are not inconsistent with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7" w:lineRule="auto" w:before="14" w:after="214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the Secured Transactions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   of 2019, from and after the date of coming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operation of the said Secured Transactions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53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56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Mortgage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132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