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0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October 25, 2019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31.10.2019)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38" w:after="0"/>
        <w:ind w:left="18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BETTING AND GAMING LEVY (AMENDMENT)</w:t>
      </w:r>
    </w:p>
    <w:p>
      <w:pPr>
        <w:autoSpaceDN w:val="0"/>
        <w:autoSpaceDE w:val="0"/>
        <w:widowControl/>
        <w:spacing w:line="238" w:lineRule="auto" w:before="32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7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44" w:after="0"/>
        <w:ind w:left="205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Betting and Gaming Levy Act, No. 40 of 1988</w:t>
      </w:r>
    </w:p>
    <w:p>
      <w:pPr>
        <w:autoSpaceDN w:val="0"/>
        <w:autoSpaceDE w:val="0"/>
        <w:widowControl/>
        <w:spacing w:line="235" w:lineRule="auto" w:before="434" w:after="0"/>
        <w:ind w:left="0" w:right="2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8" w:lineRule="auto" w:before="33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38" w:val="left"/>
        </w:tabs>
        <w:autoSpaceDE w:val="0"/>
        <w:widowControl/>
        <w:spacing w:line="235" w:lineRule="auto" w:before="144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16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6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 of the Betting and Gaming Levy Act, No. 40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1988 (hereinafter referred to as the “principal enactment”)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>section as amended is to-</w:t>
      </w:r>
    </w:p>
    <w:p>
      <w:pPr>
        <w:autoSpaceDN w:val="0"/>
        <w:tabs>
          <w:tab w:pos="2062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increase the levy on the gross collection of the business of Bookmaker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business of Gaming to fifteen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centum</w:t>
      </w:r>
      <w:r>
        <w:rPr>
          <w:rFonts w:ascii="Times" w:hAnsi="Times" w:eastAsia="Times"/>
          <w:b w:val="0"/>
          <w:i w:val="0"/>
          <w:color w:val="221F1F"/>
          <w:sz w:val="16"/>
        </w:rPr>
        <w:t>;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 for the collection of a casino entrance levy from any citizen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Lanka who enters a place of business of gaming;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 for the manner and the procedure for the payment and the collection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casino entrance levy.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to –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extend the application of subsections (2), (3) and (4) of that section to the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on the gross collection and to the casino entrance levy;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extend the application of certain provisions of the Inland Revenue Act No. 24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2017to the principal enactment.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mended is to provide for the application of certain provisions of the Turn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over Tax Act No. 69 of 1981 together with the provisions of section 4(5) of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5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7 of the principal enactment by the insertion of </w:t>
      </w:r>
      <w:r>
        <w:rPr>
          <w:rFonts w:ascii="Times" w:hAnsi="Times" w:eastAsia="Times"/>
          <w:b w:val="0"/>
          <w:i w:val="0"/>
          <w:color w:val="221F1F"/>
          <w:sz w:val="16"/>
        </w:rPr>
        <w:t>a new definition for the expression “citizen of Sri Lanka”.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Part II of the Schedule to the principal enactment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the relevant amounts in respect of levies chargeable for every year commencing </w:t>
      </w:r>
      <w:r>
        <w:rPr>
          <w:rFonts w:ascii="Times" w:hAnsi="Times" w:eastAsia="Times"/>
          <w:b w:val="0"/>
          <w:i w:val="0"/>
          <w:color w:val="221F1F"/>
          <w:sz w:val="16"/>
        </w:rPr>
        <w:t>on or after October 1, 2019.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 10/2019</w:t>
      </w:r>
    </w:p>
    <w:p>
      <w:pPr>
        <w:autoSpaceDN w:val="0"/>
        <w:autoSpaceDE w:val="0"/>
        <w:widowControl/>
        <w:spacing w:line="247" w:lineRule="auto" w:before="266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ETTING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AMING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40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1988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Betting and Gaming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8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Levy (Amendment) Act,   No.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Betting and gaming Levy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40 of 1988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as last amended by Act, No. 14 of 2015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 of 1988.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amended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(1A) of that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words, “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five 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or” of the words, “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five per centum;</w:t>
      </w:r>
      <w:r>
        <w:rPr>
          <w:rFonts w:ascii="Times" w:hAnsi="Times" w:eastAsia="Times"/>
          <w:b w:val="0"/>
          <w:i w:val="0"/>
          <w:color w:val="000000"/>
          <w:sz w:val="20"/>
        </w:rPr>
        <w:t>”;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4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(1A) of that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and figures, “on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January 1, 2015, at the rate of 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and figures,“on or after January 1, 2015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prior to October 1, 2019 at the rate of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ten per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>; or”;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0" w:lineRule="auto" w:before="26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(1A) of that section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new paragraph:-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6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year commencing on or after October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2019, at the rate of fifteen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>,”;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(1AA) of that section,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starting from, </w:t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“Every person” to “business of gaming:”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words and figures:-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Betting and Gaming Levy  (Amendment)</w:t>
      </w:r>
    </w:p>
    <w:p>
      <w:pPr>
        <w:autoSpaceDN w:val="0"/>
        <w:autoSpaceDE w:val="0"/>
        <w:widowControl/>
        <w:spacing w:line="245" w:lineRule="auto" w:before="494" w:after="170"/>
        <w:ind w:left="2802" w:right="2516" w:firstLine="3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“(1AA) Every person who carries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of gaming in Sri Lanka shall collect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levy (hereinafter referred to as the “casino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entrance levy”) for any relevant quarter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or after January 1, 2015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ending prior to October 1, 2019 a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levy of United States Dollars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or its equivalent in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convertible foreign currency or in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currency from any person who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enters such place of business of gaming;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or after October 1, 2019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312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levy of United States Dollars fifty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its equivalent in any other convertible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foreign currency or in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from any citizen of Sri Lanka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 enters such place of business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gaming,</w:t>
      </w:r>
    </w:p>
    <w:p>
      <w:pPr>
        <w:autoSpaceDN w:val="0"/>
        <w:autoSpaceDE w:val="0"/>
        <w:widowControl/>
        <w:spacing w:line="235" w:lineRule="auto" w:before="230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pay such casino entrance levy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collected to the Commissioner General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provisions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30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(1B)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section:”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(IB) of that section 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words, “Every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who is liable to pay the levy under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88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 (1A) and subsection (1AA),”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words, “ Every person who is liable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 the levy under subsection  (1A) and every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who is liable to collect and pay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levy under subsection (1AA),”;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30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words, “ remit the levies”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words, “pay to the Commissioner</w:t>
      </w:r>
    </w:p>
    <w:p>
      <w:pPr>
        <w:autoSpaceDN w:val="0"/>
        <w:tabs>
          <w:tab w:pos="2902" w:val="left"/>
        </w:tabs>
        <w:autoSpaceDE w:val="0"/>
        <w:widowControl/>
        <w:spacing w:line="264" w:lineRule="auto" w:before="12" w:after="0"/>
        <w:ind w:left="13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 the levies”.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Betting and Gaming Levy 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50" w:lineRule="auto" w:before="4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subsection (1C) of that section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1478" w:val="left"/>
          <w:tab w:pos="2518" w:val="left"/>
          <w:tab w:pos="2818" w:val="left"/>
        </w:tabs>
        <w:autoSpaceDE w:val="0"/>
        <w:widowControl/>
        <w:spacing w:line="254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“(1C)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Where any person who is liable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 the levy referred to in subsections (1) , (1A)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and collect and pay the casino entrance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levy referred to in subsection (1AA) of this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collect or pay such levies as the case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be, the provisions of subsections (2), (3), (4), (5),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(5A) and (6) of section 4 as applicable shall apply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respect of such failure;</w:t>
      </w:r>
    </w:p>
    <w:p>
      <w:pPr>
        <w:autoSpaceDN w:val="0"/>
        <w:autoSpaceDE w:val="0"/>
        <w:widowControl/>
        <w:spacing w:line="250" w:lineRule="auto" w:before="264" w:after="8"/>
        <w:ind w:left="251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manner and the procedure relating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payment and collection of the levy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(1AA) may be prescribed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(2) of that section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1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autoSpaceDE w:val="0"/>
        <w:widowControl/>
        <w:spacing w:line="252" w:lineRule="auto" w:before="262" w:after="206"/>
        <w:ind w:left="251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 Where any person who is liable to pay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levy referred to in subsections (1), (1A) and collect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pay the casino entrance levy referred to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(1AA) of section 2, fails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pay any installment of the levy or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54" w:lineRule="auto" w:before="1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thereof or the levy on gross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collection or part thereof or to collect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pay the casino entrance levy,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respectively referred to in subsections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(1A) and (1AA) of that section,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before the dates specified in this Act;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Betting and Gaming Levy  (Amendment)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484" w:after="4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pay the levy on gross collection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thereof referred to in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(1A) of that section, assessed by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Assistant Commissioner for any period,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required to be paid on or before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specified in the notice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assessment,</w:t>
      </w:r>
    </w:p>
    <w:p>
      <w:pPr>
        <w:autoSpaceDN w:val="0"/>
        <w:autoSpaceDE w:val="0"/>
        <w:widowControl/>
        <w:spacing w:line="245" w:lineRule="auto" w:before="242" w:after="4"/>
        <w:ind w:left="2592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installment of the levy or part thereof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levy on gross collection or part thereof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casino entrance levy shall be deemed to be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default and such persons shall be deemed to be a</w:t>
            </w:r>
          </w:p>
        </w:tc>
      </w:tr>
    </w:tbl>
    <w:p>
      <w:pPr>
        <w:autoSpaceDN w:val="0"/>
        <w:autoSpaceDE w:val="0"/>
        <w:widowControl/>
        <w:spacing w:line="235" w:lineRule="auto" w:before="2" w:after="182"/>
        <w:ind w:left="0" w:right="3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defaulter for the purposes of this Act.”;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2)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 :-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words, “where any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installment of the levy is in default and-”  of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words, “where any installment of the levy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5" w:lineRule="auto" w:before="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part thereof or the levy on gross collection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part thereof or the casino entrance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levy,respectively referred to in subsections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(1A) and (1AA) of the section 2 is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default and –”;</w:t>
      </w:r>
    </w:p>
    <w:p>
      <w:pPr>
        <w:autoSpaceDN w:val="0"/>
        <w:tabs>
          <w:tab w:pos="2884" w:val="left"/>
          <w:tab w:pos="2902" w:val="left"/>
        </w:tabs>
        <w:autoSpaceDE w:val="0"/>
        <w:widowControl/>
        <w:spacing w:line="245" w:lineRule="auto" w:before="240" w:after="4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 for the words, “the default is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 installment” of the words, “the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default is in respect of an installment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levy under subsection (1) of section 2”;</w:t>
      </w:r>
    </w:p>
    <w:p>
      <w:pPr>
        <w:autoSpaceDN w:val="0"/>
        <w:tabs>
          <w:tab w:pos="2884" w:val="left"/>
          <w:tab w:pos="2904" w:val="left"/>
        </w:tabs>
        <w:autoSpaceDE w:val="0"/>
        <w:widowControl/>
        <w:spacing w:line="245" w:lineRule="auto" w:before="240" w:after="4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 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words, “ the default is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 installment” of the words, “the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default is in respect of an installment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levy under subsection (1) of section 2”;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the proviso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(3) of that section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new paragraph: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Betting and Gaming Levy 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74" w:lineRule="auto" w:before="506" w:after="260"/>
        <w:ind w:left="2758" w:right="2422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default is in respect of levies payable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(1A) and (1AA) of section 2,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defaulter shall in addition to the levy in default,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penalty of a sum equivalent to ten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65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such levy; and</w:t>
      </w:r>
    </w:p>
    <w:p>
      <w:pPr>
        <w:autoSpaceDN w:val="0"/>
        <w:tabs>
          <w:tab w:pos="2578" w:val="left"/>
          <w:tab w:pos="2998" w:val="left"/>
        </w:tabs>
        <w:autoSpaceDE w:val="0"/>
        <w:widowControl/>
        <w:spacing w:line="278" w:lineRule="auto" w:before="32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such levy is not paid before the expiry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thirty days, from the time it begins to be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default, a further penalty of a sum equivalent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levy in default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each further period of thirty 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part thereof, during which it remains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default:</w:t>
      </w:r>
    </w:p>
    <w:p>
      <w:pPr>
        <w:autoSpaceDN w:val="0"/>
        <w:tabs>
          <w:tab w:pos="2818" w:val="left"/>
          <w:tab w:pos="2998" w:val="left"/>
        </w:tabs>
        <w:autoSpaceDE w:val="0"/>
        <w:widowControl/>
        <w:spacing w:line="269" w:lineRule="auto" w:before="32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total amount payable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penalty under this paragraph shall in no 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levy in default.”;</w:t>
      </w:r>
    </w:p>
    <w:p>
      <w:pPr>
        <w:autoSpaceDN w:val="0"/>
        <w:tabs>
          <w:tab w:pos="2112" w:val="left"/>
          <w:tab w:pos="2518" w:val="left"/>
          <w:tab w:pos="2536" w:val="left"/>
        </w:tabs>
        <w:autoSpaceDE w:val="0"/>
        <w:widowControl/>
        <w:spacing w:line="278" w:lineRule="auto" w:before="320" w:after="262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(4) of that section, by the substitution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words, “Any installment in default together”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words, “Any installment of the levy or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or the levy on gross collection or part thereof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casino entrance levy, respectively referred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subsections (1), (1A) and (1AA) of section 2,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case may be is in default together”;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(6) inserted by the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Betting and Gaming Levy (Amendment) Act, No.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5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 of 2015;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64" w:lineRule="auto" w:before="32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(5)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section of the following new subsection: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Betting and Gaming Levy  (Amendment)</w:t>
      </w:r>
    </w:p>
    <w:p>
      <w:pPr>
        <w:autoSpaceDN w:val="0"/>
        <w:tabs>
          <w:tab w:pos="1374" w:val="left"/>
          <w:tab w:pos="1394" w:val="left"/>
          <w:tab w:pos="2662" w:val="left"/>
          <w:tab w:pos="2962" w:val="left"/>
        </w:tabs>
        <w:autoSpaceDE w:val="0"/>
        <w:widowControl/>
        <w:spacing w:line="257" w:lineRule="auto" w:before="496" w:after="206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“(5A) In addition to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(5) of this section,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IX, X, XII, XIII, XIV, XV, XVI, XVII,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XVIII, XIX and XX of the Inland Revenue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24 of 2017, for the relevant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on or after April 1, 2018,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respectively to Administration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Provisions, Record Keeping and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Collection, Assessments, Objection and Appeals,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Liability for and Payment of Tax, Interest,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Recovery of Tax, Penalties, Criminal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Proceedings, Regulations and Interpretation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respectively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Provisions, Record keeping,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Collection, Assessments, Objection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Appeals, Liberty for and Payment of Tax,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Interest, Recovery of Tax, Penalties, Criminal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Proceedings, Regulations and Interpretation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 as 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7" w:lineRule="auto" w:before="8" w:after="1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for the words and figures, “section 190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Inland Revenue Act” of the words and figures,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“section 38 of the Turnover Tax Act”;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8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for the words and figures, “section 214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section 215 of the Inland Revenue Act”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 and figures, “section 42 or section 43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Turnover Tax Act”;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for the words and figures, “section 209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Inland Revenue Act” of the words and figures,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“section 57 of the Turnover Tax Act”;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5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Betting and Gaming Levy 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502" w:after="22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substitution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for the words and figures, “section 209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Inland Revenue Act” of the words and figures,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“section 57 of the Turnover Tax Act”.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the definition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expression “Commissioner- General” and “Deputy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Commissioner” of the following definition: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22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“citizen of Sri Lanka” means, a person who</w:t>
      </w:r>
    </w:p>
    <w:p>
      <w:pPr>
        <w:autoSpaceDN w:val="0"/>
        <w:tabs>
          <w:tab w:pos="3238" w:val="left"/>
        </w:tabs>
        <w:autoSpaceDE w:val="0"/>
        <w:widowControl/>
        <w:spacing w:line="254" w:lineRule="auto" w:before="26" w:after="222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possesses the status of a citizenship of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under the Citizenship Act (chapter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349)”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Schedule to the Betting and Gaming Levy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last amended by Act, No. 14 of 2015 is hereby further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PART II therefor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81" w:lineRule="auto" w:before="180" w:after="0"/>
        <w:ind w:left="0" w:right="4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“PART II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82" w:after="222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the levy payable by a person carrying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of gaming for every year specified in Column 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hereto, shall be equivalent to the amount specified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corresponding entry in Column II hereto: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Column I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Column II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Year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Amount of Levy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1. For every year commencing on</w:t>
            </w:r>
          </w:p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million rupees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after April 1, 1988 but prior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April 1, 2001.</w:t>
      </w:r>
    </w:p>
    <w:p>
      <w:pPr>
        <w:autoSpaceDN w:val="0"/>
        <w:tabs>
          <w:tab w:pos="2038" w:val="left"/>
          <w:tab w:pos="4874" w:val="left"/>
        </w:tabs>
        <w:autoSpaceDE w:val="0"/>
        <w:widowControl/>
        <w:spacing w:line="254" w:lineRule="auto" w:before="282" w:after="0"/>
        <w:ind w:left="1816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2. For every year commencing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Twenty five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after April 1, 2001 but prior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rupees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April 1, 2002.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Betting and Gaming Levy  (Amendment)</w:t>
      </w:r>
    </w:p>
    <w:p>
      <w:pPr>
        <w:autoSpaceDN w:val="0"/>
        <w:tabs>
          <w:tab w:pos="5192" w:val="left"/>
        </w:tabs>
        <w:autoSpaceDE w:val="0"/>
        <w:widowControl/>
        <w:spacing w:line="238" w:lineRule="auto" w:before="51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Column I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Column II</w:t>
      </w:r>
    </w:p>
    <w:p>
      <w:pPr>
        <w:autoSpaceDN w:val="0"/>
        <w:tabs>
          <w:tab w:pos="4964" w:val="left"/>
        </w:tabs>
        <w:autoSpaceDE w:val="0"/>
        <w:widowControl/>
        <w:spacing w:line="238" w:lineRule="auto" w:before="26" w:after="0"/>
        <w:ind w:left="295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Year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Amount of Levy</w:t>
      </w:r>
    </w:p>
    <w:p>
      <w:pPr>
        <w:autoSpaceDN w:val="0"/>
        <w:autoSpaceDE w:val="0"/>
        <w:widowControl/>
        <w:spacing w:line="235" w:lineRule="auto" w:before="222" w:after="2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3. For every year commencing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2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2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after April 1, 2002 but prior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April 1, 2005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216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302" w:right="134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For carrying on the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gaming (other than for </w:t>
      </w:r>
      <w:r>
        <w:rPr>
          <w:rFonts w:ascii="Times" w:hAnsi="Times" w:eastAsia="Times"/>
          <w:b w:val="0"/>
          <w:i w:val="0"/>
          <w:color w:val="000000"/>
          <w:sz w:val="20"/>
        </w:rPr>
        <w:t>playing rudjino)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698" w:space="0"/>
            <w:col w:w="432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632"/>
        <w:ind w:left="1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Twelve million rupees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698" w:space="0"/>
            <w:col w:w="432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 for carrying on the business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Five hundred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only playing rudjino.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thousand rupees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4. For carrying on the business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Fifty million rupees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gaming including playing rudjino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every year commencing 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April 1, 2005, but prior to April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1, 2013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hundred</w:t>
            </w:r>
          </w:p>
        </w:tc>
      </w:tr>
      <w:tr>
        <w:trPr>
          <w:trHeight w:hRule="exact" w:val="335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5. For carrying on the business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gaming including playing rudjino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million rupees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every year commencing 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April 1, 2013, but prior to April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1, 2015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6. For carrying on the business of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hundred million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gaming including playing rudjino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every year commencing 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April 1, 2015 but prior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October 1, 2019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32" w:after="156"/>
        <w:ind w:left="1702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7. For every year commencing 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October 1,2019: 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carrying on the business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Four hundred million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gaming (other than the</w:t>
            </w:r>
          </w:p>
        </w:tc>
        <w:tc>
          <w:tcPr>
            <w:tcW w:type="dxa" w:w="3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of only playing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rudjino).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million rupees”.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carrying on the business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4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only playing rudjino.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698" w:space="0"/>
            <w:col w:w="432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3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84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5" w:lineRule="auto" w:before="2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4698" w:space="0"/>
            <w:col w:w="432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9384"/>
        </w:trPr>
        <w:tc>
          <w:tcPr>
            <w:tcW w:type="dxa" w:w="8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Betting and Gaming Levy  (Amendment)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4698" w:space="0"/>
        <w:col w:w="4322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