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15, 2019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18.11.2019)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0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PARLIAMENT (POWERS AND PRIVILEGES) </w:t>
      </w:r>
      <w:r>
        <w:rPr>
          <w:rFonts w:ascii="Times,Bold" w:hAnsi="Times,Bold" w:eastAsia="Times,Bold"/>
          <w:b/>
          <w:i w:val="0"/>
          <w:color w:val="221F1F"/>
          <w:sz w:val="28"/>
        </w:rPr>
        <w:t>(AMENDMENT)</w:t>
      </w:r>
    </w:p>
    <w:p>
      <w:pPr>
        <w:autoSpaceDN w:val="0"/>
        <w:autoSpaceDE w:val="0"/>
        <w:widowControl/>
        <w:spacing w:line="238" w:lineRule="auto" w:before="160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9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Parliament (Powers and Privileges) Act (Chapter 383)</w:t>
      </w:r>
    </w:p>
    <w:p>
      <w:pPr>
        <w:autoSpaceDN w:val="0"/>
        <w:autoSpaceDE w:val="0"/>
        <w:widowControl/>
        <w:spacing w:line="235" w:lineRule="auto" w:before="304" w:after="0"/>
        <w:ind w:left="0" w:right="23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Hon. Prime Minister</w:t>
      </w:r>
    </w:p>
    <w:p>
      <w:pPr>
        <w:autoSpaceDN w:val="0"/>
        <w:autoSpaceDE w:val="0"/>
        <w:widowControl/>
        <w:spacing w:line="238" w:lineRule="auto" w:before="56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6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4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198" w:after="0"/>
        <w:ind w:left="1342" w:right="145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the long title of the Parliament (Powers and Privileges)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No. 21 of 1953 (hereinafter referred to as the “principal enactment”)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long title as amended is to remove the word “House” and  insert the word</w:t>
      </w:r>
      <w:r>
        <w:rPr>
          <w:rFonts w:ascii="Times" w:hAnsi="Times" w:eastAsia="Times"/>
          <w:b w:val="0"/>
          <w:i w:val="0"/>
          <w:color w:val="000000"/>
          <w:sz w:val="16"/>
        </w:rPr>
        <w:t>“Parliament” in the long title.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8" w:after="138"/>
        <w:ind w:left="1342" w:right="1440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510"/>
        <w:gridCol w:w="4510"/>
      </w:tblGrid>
      <w:tr>
        <w:trPr>
          <w:trHeight w:hRule="exact" w:val="159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5" w:lineRule="auto" w:before="60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(ii)</w:t>
            </w:r>
          </w:p>
          <w:p>
            <w:pPr>
              <w:autoSpaceDN w:val="0"/>
              <w:autoSpaceDE w:val="0"/>
              <w:widowControl/>
              <w:spacing w:line="235" w:lineRule="auto" w:before="37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(iii)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remove the definition of expression “clerk”;</w:t>
            </w:r>
          </w:p>
          <w:p>
            <w:pPr>
              <w:autoSpaceDN w:val="0"/>
              <w:autoSpaceDE w:val="0"/>
              <w:widowControl/>
              <w:spacing w:line="245" w:lineRule="auto" w:before="196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substitute new definitions for the definition of expressions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“Committee”, “House”, “member”, “officer of Parliament”; and</w:t>
            </w:r>
          </w:p>
          <w:p>
            <w:pPr>
              <w:autoSpaceDN w:val="0"/>
              <w:autoSpaceDE w:val="0"/>
              <w:widowControl/>
              <w:spacing w:line="245" w:lineRule="auto" w:before="198" w:after="0"/>
              <w:ind w:left="102" w:right="7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 new definitions of expressions for the expressions of “conduct as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member”, “document”, “electronic”, “Parliament”, “precincts of Parliament”,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“proceedings of Parliament” and “publication”.</w:t>
            </w:r>
          </w:p>
        </w:tc>
      </w:tr>
    </w:tbl>
    <w:p>
      <w:pPr>
        <w:autoSpaceDN w:val="0"/>
        <w:autoSpaceDE w:val="0"/>
        <w:widowControl/>
        <w:spacing w:line="245" w:lineRule="auto" w:before="138" w:after="0"/>
        <w:ind w:left="1342" w:right="145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11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substitute for the words “clerk”, and “House” of the words</w:t>
      </w:r>
      <w:r>
        <w:rPr>
          <w:rFonts w:ascii="Times" w:hAnsi="Times" w:eastAsia="Times"/>
          <w:b w:val="0"/>
          <w:i w:val="0"/>
          <w:color w:val="000000"/>
          <w:sz w:val="16"/>
        </w:rPr>
        <w:t>“Secretary-General” and “Parliament” and remove the word “President”.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6" w:after="0"/>
        <w:ind w:left="1342" w:right="1440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5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remove the  word " president" in that section.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6" w:after="0"/>
        <w:ind w:left="1342" w:right="1440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6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remove the word "President" in that section.</w:t>
      </w:r>
    </w:p>
    <w:p>
      <w:pPr>
        <w:autoSpaceDN w:val="0"/>
        <w:autoSpaceDE w:val="0"/>
        <w:widowControl/>
        <w:spacing w:line="245" w:lineRule="auto" w:before="198" w:after="0"/>
        <w:ind w:left="1342" w:right="145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14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consequential to the amendment made by clause 11 of the </w:t>
      </w:r>
      <w:r>
        <w:rPr>
          <w:rFonts w:ascii="Times" w:hAnsi="Times" w:eastAsia="Times"/>
          <w:b w:val="0"/>
          <w:i w:val="0"/>
          <w:color w:val="000000"/>
          <w:sz w:val="16"/>
        </w:rPr>
        <w:t>Bill.</w:t>
      </w:r>
    </w:p>
    <w:p>
      <w:pPr>
        <w:autoSpaceDN w:val="0"/>
        <w:autoSpaceDE w:val="0"/>
        <w:widowControl/>
        <w:spacing w:line="245" w:lineRule="auto" w:before="196" w:after="0"/>
        <w:ind w:left="1342" w:right="145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8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17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substitute for the words “House” and “short hand writer”</w:t>
      </w:r>
      <w:r>
        <w:rPr>
          <w:rFonts w:ascii="Times" w:hAnsi="Times" w:eastAsia="Times"/>
          <w:b w:val="0"/>
          <w:i w:val="0"/>
          <w:color w:val="000000"/>
          <w:sz w:val="16"/>
        </w:rPr>
        <w:t>of the words “Parliament” and “transcript staff member”.</w:t>
      </w:r>
    </w:p>
    <w:p>
      <w:pPr>
        <w:autoSpaceDN w:val="0"/>
        <w:autoSpaceDE w:val="0"/>
        <w:widowControl/>
        <w:spacing w:line="245" w:lineRule="auto" w:before="196" w:after="0"/>
        <w:ind w:left="1342" w:right="145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9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remove the word “President” and substitute for the word</w:t>
      </w:r>
      <w:r>
        <w:rPr>
          <w:rFonts w:ascii="Times" w:hAnsi="Times" w:eastAsia="Times"/>
          <w:b w:val="0"/>
          <w:i w:val="0"/>
          <w:color w:val="000000"/>
          <w:sz w:val="16"/>
        </w:rPr>
        <w:t>“clerk” the word “Secretary-General of Parliament”.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6" w:after="0"/>
        <w:ind w:left="1342" w:right="1440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10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21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remove the  word “President” in that section.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198" w:after="136"/>
        <w:ind w:left="1342" w:right="1440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11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new section 22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, 22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, and 22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enactment. </w:t>
      </w:r>
      <w:r>
        <w:rPr>
          <w:rFonts w:ascii="Times" w:hAnsi="Times" w:eastAsia="Times"/>
          <w:b w:val="0"/>
          <w:i w:val="0"/>
          <w:color w:val="000000"/>
          <w:sz w:val="16"/>
        </w:rPr>
        <w:t>The new sections provide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115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60" w:after="0"/>
              <w:ind w:left="72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(ii)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(iii)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5" w:lineRule="auto" w:before="60" w:after="0"/>
              <w:ind w:left="122" w:right="57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the Speaker may allow a member to make a complain of an alleged offence;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reference of matters of an alleged offence to the Attorney-General;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making of an application by Attorney-General in any case to constitute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conclusive evidence that the application has been duly made.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12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substitute for the words “Section 49 of the Courts </w:t>
      </w:r>
      <w:r>
        <w:rPr>
          <w:rFonts w:ascii="Times" w:hAnsi="Times" w:eastAsia="Times"/>
          <w:b w:val="0"/>
          <w:i w:val="0"/>
          <w:color w:val="000000"/>
          <w:sz w:val="16"/>
        </w:rPr>
        <w:t>Ordinance” of the words “Article 136 of the Constitution”.</w:t>
      </w:r>
    </w:p>
    <w:p>
      <w:pPr>
        <w:autoSpaceDN w:val="0"/>
        <w:autoSpaceDE w:val="0"/>
        <w:widowControl/>
        <w:spacing w:line="235" w:lineRule="auto" w:before="210" w:after="0"/>
        <w:ind w:left="16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repeals section 25 of the principal enactment.</w:t>
      </w:r>
    </w:p>
    <w:p>
      <w:pPr>
        <w:autoSpaceDN w:val="0"/>
        <w:autoSpaceDE w:val="0"/>
        <w:widowControl/>
        <w:spacing w:line="238" w:lineRule="auto" w:before="210" w:after="0"/>
        <w:ind w:left="16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14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repeals section 26 of the principal enactment.</w:t>
      </w:r>
    </w:p>
    <w:p>
      <w:pPr>
        <w:autoSpaceDN w:val="0"/>
        <w:autoSpaceDE w:val="0"/>
        <w:widowControl/>
        <w:spacing w:line="247" w:lineRule="auto" w:before="21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15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27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 consequential to the amendment made by clause 11 of </w:t>
      </w:r>
      <w:r>
        <w:rPr>
          <w:rFonts w:ascii="Times" w:hAnsi="Times" w:eastAsia="Times"/>
          <w:b w:val="0"/>
          <w:i w:val="0"/>
          <w:color w:val="000000"/>
          <w:sz w:val="16"/>
        </w:rPr>
        <w:t>the Bill.</w:t>
      </w:r>
    </w:p>
    <w:p>
      <w:pPr>
        <w:autoSpaceDN w:val="0"/>
        <w:autoSpaceDE w:val="0"/>
        <w:widowControl/>
        <w:spacing w:line="245" w:lineRule="auto" w:before="21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16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29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remove the words “gentleman Usher” and “president”</w:t>
      </w:r>
      <w:r>
        <w:rPr>
          <w:rFonts w:ascii="Times" w:hAnsi="Times" w:eastAsia="Times"/>
          <w:b w:val="0"/>
          <w:i w:val="0"/>
          <w:color w:val="000000"/>
          <w:sz w:val="16"/>
        </w:rPr>
        <w:t>in that section.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10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30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remove the word “president” in that section.</w:t>
      </w:r>
    </w:p>
    <w:p>
      <w:pPr>
        <w:autoSpaceDN w:val="0"/>
        <w:autoSpaceDE w:val="0"/>
        <w:widowControl/>
        <w:spacing w:line="247" w:lineRule="auto" w:before="21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18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Part B of the Schedule to the principal enactment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legal effect of the section as amended is to repeal item 9 of part B and substitute a new </w:t>
      </w:r>
      <w:r>
        <w:rPr>
          <w:rFonts w:ascii="Times" w:hAnsi="Times" w:eastAsia="Times"/>
          <w:b w:val="0"/>
          <w:i w:val="0"/>
          <w:color w:val="000000"/>
          <w:sz w:val="16"/>
        </w:rPr>
        <w:t>item.</w:t>
      </w:r>
    </w:p>
    <w:p>
      <w:pPr>
        <w:autoSpaceDN w:val="0"/>
        <w:autoSpaceDE w:val="0"/>
        <w:widowControl/>
        <w:spacing w:line="247" w:lineRule="auto" w:before="21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19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makes a general amendment to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the section as amended is to substitute for the words “Clerk”, “Clerk of </w:t>
      </w:r>
      <w:r>
        <w:rPr>
          <w:rFonts w:ascii="Times" w:hAnsi="Times" w:eastAsia="Times"/>
          <w:b w:val="0"/>
          <w:i w:val="0"/>
          <w:color w:val="000000"/>
          <w:sz w:val="16"/>
        </w:rPr>
        <w:t>Parliament”, “President or Speaker”, and “Ceylon”, of the words “Secretary-General”,</w:t>
      </w:r>
      <w:r>
        <w:rPr>
          <w:rFonts w:ascii="Times" w:hAnsi="Times" w:eastAsia="Times"/>
          <w:b w:val="0"/>
          <w:i w:val="0"/>
          <w:color w:val="000000"/>
          <w:sz w:val="16"/>
        </w:rPr>
        <w:t>“Secretary- General of Parliament”, “Speaker” and “Sri Lanka”.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3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Parliament (Powers and Privileges)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7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1/2019</w:t>
      </w:r>
    </w:p>
    <w:p>
      <w:pPr>
        <w:autoSpaceDN w:val="0"/>
        <w:autoSpaceDE w:val="0"/>
        <w:widowControl/>
        <w:spacing w:line="264" w:lineRule="auto" w:before="330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ARLIAMENT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RIVILEGES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CT </w:t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383)</w:t>
      </w:r>
    </w:p>
    <w:p>
      <w:pPr>
        <w:autoSpaceDN w:val="0"/>
        <w:autoSpaceDE w:val="0"/>
        <w:widowControl/>
        <w:spacing w:line="264" w:lineRule="auto" w:before="326" w:after="2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Parliament (Powers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24" w:after="24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Privileges) (Amendment) Act, No.    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of the Parliament (Powers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Privileges) Act, No. 21 of 1953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of</w:t>
            </w:r>
          </w:p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“principal enactment”) is hereby repealed and the  following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383.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long title is substituted therefor:-</w:t>
      </w:r>
    </w:p>
    <w:p>
      <w:pPr>
        <w:autoSpaceDN w:val="0"/>
        <w:tabs>
          <w:tab w:pos="1472" w:val="left"/>
          <w:tab w:pos="2218" w:val="left"/>
          <w:tab w:pos="2518" w:val="left"/>
        </w:tabs>
        <w:autoSpaceDE w:val="0"/>
        <w:widowControl/>
        <w:spacing w:line="286" w:lineRule="auto" w:before="326" w:after="2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 ACT TO DECLARE AND DEFINE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PRIVILEGES, IMMUNITIES AND POWERS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OF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THEREOF; TO SECURE FREEDOM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SPEECH AND DEBATE OR PROCEEDINGS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PARLIAMENT; TO PROVIDE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PUNISHMENT OF BREACHES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PRIVILEGES OF PARLIAMENT; AND TO GIVE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TO PERSONS EMPLOYED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OF THE REPORTS, PAPERS,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MINUTES, VOTES OR PROCEEDINGS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PARLIAMENT.”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5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“Clerk”;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  <w:tab w:pos="368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 (Powers and Privileges)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“Committee”and the substitution therefor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definition:-</w:t>
      </w:r>
    </w:p>
    <w:p>
      <w:pPr>
        <w:autoSpaceDN w:val="0"/>
        <w:autoSpaceDE w:val="0"/>
        <w:widowControl/>
        <w:spacing w:line="238" w:lineRule="auto" w:before="252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 “Committee” means any Committee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Parliament;”;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“Committee” of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tabs>
          <w:tab w:pos="2664" w:val="left"/>
          <w:tab w:pos="2964" w:val="left"/>
        </w:tabs>
        <w:autoSpaceDE w:val="0"/>
        <w:widowControl/>
        <w:spacing w:line="247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“Conduct as a member” means conduct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Parliament with regard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of Parliament;”;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5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“conduct as a member”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definitions:-</w:t>
      </w:r>
    </w:p>
    <w:p>
      <w:pPr>
        <w:autoSpaceDN w:val="0"/>
        <w:tabs>
          <w:tab w:pos="2664" w:val="left"/>
          <w:tab w:pos="2964" w:val="left"/>
        </w:tabs>
        <w:autoSpaceDE w:val="0"/>
        <w:widowControl/>
        <w:spacing w:line="247" w:lineRule="auto" w:before="252" w:after="192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“Document” includes a record, information,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or transaction in any 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including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written, print or electronic;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audio and video recordings;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figures, symbols, sounds,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graphics, drawings;</w:t>
      </w:r>
    </w:p>
    <w:p>
      <w:pPr>
        <w:autoSpaceDN w:val="0"/>
        <w:autoSpaceDE w:val="0"/>
        <w:widowControl/>
        <w:spacing w:line="247" w:lineRule="auto" w:before="252" w:after="174"/>
        <w:ind w:left="2964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“electronic” shall have the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it under the Electronic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Transactions Act, No. 19 of 2006;”;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“House”, and the substitution therefor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definition:-</w:t>
      </w:r>
    </w:p>
    <w:p>
      <w:pPr>
        <w:autoSpaceDN w:val="0"/>
        <w:autoSpaceDE w:val="0"/>
        <w:widowControl/>
        <w:spacing w:line="238" w:lineRule="auto" w:before="25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 “House” means the Chamber of Parliament;”;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0"/>
        <w:ind w:left="28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 (Powers and Privileges)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“member”, and the substitution thereforof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definition:-</w:t>
      </w:r>
    </w:p>
    <w:p>
      <w:pPr>
        <w:autoSpaceDN w:val="0"/>
        <w:autoSpaceDE w:val="0"/>
        <w:widowControl/>
        <w:spacing w:line="238" w:lineRule="auto" w:before="276" w:after="2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 “Member” means the Member of Parliament;”;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 the definition of the expression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“officer of the House”, and the substitution therefor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definition:-</w:t>
      </w:r>
    </w:p>
    <w:p>
      <w:pPr>
        <w:autoSpaceDN w:val="0"/>
        <w:autoSpaceDE w:val="0"/>
        <w:widowControl/>
        <w:spacing w:line="238" w:lineRule="auto" w:before="276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 “Officer of Parliament” means the Secretary-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Parliament and includes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may from time to time be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92"/>
        <w:ind w:left="30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appointed to the staff of the Secretary-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Parliament whether permanently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temporarily, and police officer on duty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within the precincts of Parliament;”;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“officer of Parliament”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definitions of expressions:-</w:t>
      </w:r>
    </w:p>
    <w:p>
      <w:pPr>
        <w:autoSpaceDN w:val="0"/>
        <w:tabs>
          <w:tab w:pos="3058" w:val="left"/>
        </w:tabs>
        <w:autoSpaceDE w:val="0"/>
        <w:widowControl/>
        <w:spacing w:line="250" w:lineRule="auto" w:before="276" w:after="0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“Parliament” means the Parliament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includes a committee;</w:t>
      </w:r>
    </w:p>
    <w:p>
      <w:pPr>
        <w:autoSpaceDN w:val="0"/>
        <w:tabs>
          <w:tab w:pos="1474" w:val="left"/>
          <w:tab w:pos="2758" w:val="left"/>
          <w:tab w:pos="3058" w:val="left"/>
        </w:tabs>
        <w:autoSpaceDE w:val="0"/>
        <w:widowControl/>
        <w:spacing w:line="262" w:lineRule="auto" w:before="27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“precincts of Parliament” means the area of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every building or part of a building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control of Parliament and includes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other building or part of a building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or used in connection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 of Parliament;</w:t>
      </w:r>
    </w:p>
    <w:p>
      <w:pPr>
        <w:autoSpaceDN w:val="0"/>
        <w:autoSpaceDE w:val="0"/>
        <w:widowControl/>
        <w:spacing w:line="238" w:lineRule="auto" w:before="264" w:after="0"/>
        <w:ind w:left="0" w:right="30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“proceedings of Parliament” includes –</w:t>
      </w:r>
    </w:p>
    <w:p>
      <w:pPr>
        <w:autoSpaceDN w:val="0"/>
        <w:tabs>
          <w:tab w:pos="3478" w:val="left"/>
        </w:tabs>
        <w:autoSpaceDE w:val="0"/>
        <w:widowControl/>
        <w:spacing w:line="254" w:lineRule="auto" w:before="276" w:after="0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things said, done or written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or by officer of Parliament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any person ordered or authorized 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  <w:tab w:pos="368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 (Powers and Privileges)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57" w:lineRule="auto" w:before="262" w:after="222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 before the House or its committees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course of  a sitting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transacting the business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House or its committees;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things said, done or written between</w:t>
            </w:r>
          </w:p>
        </w:tc>
      </w:tr>
    </w:tbl>
    <w:p>
      <w:pPr>
        <w:autoSpaceDN w:val="0"/>
        <w:autoSpaceDE w:val="0"/>
        <w:widowControl/>
        <w:spacing w:line="257" w:lineRule="auto" w:before="4" w:after="8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and officers of Parliament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enabling any member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officer to carry out his or 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as a member of Parliament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of parliament;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presentation or submission of a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to the House or a Committee;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preparation of a document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purposes of or incidental to the</w:t>
      </w:r>
    </w:p>
    <w:p>
      <w:pPr>
        <w:autoSpaceDN w:val="0"/>
        <w:tabs>
          <w:tab w:pos="3384" w:val="left"/>
        </w:tabs>
        <w:autoSpaceDE w:val="0"/>
        <w:widowControl/>
        <w:spacing w:line="259" w:lineRule="auto" w:before="28" w:after="1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of any business of the House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its committees; and the formulation,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or publication of a document,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report, by or pursuant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of the House or a Committee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document so formulated, made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published;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opinion or advice communicated</w:t>
            </w:r>
          </w:p>
        </w:tc>
      </w:tr>
    </w:tbl>
    <w:p>
      <w:pPr>
        <w:autoSpaceDN w:val="0"/>
        <w:autoSpaceDE w:val="0"/>
        <w:widowControl/>
        <w:spacing w:line="238" w:lineRule="auto" w:before="14" w:after="1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speaker or Secretary General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parliament by the Attorney General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assisting the Attorney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9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General;</w:t>
      </w:r>
    </w:p>
    <w:p>
      <w:pPr>
        <w:autoSpaceDN w:val="0"/>
        <w:autoSpaceDE w:val="0"/>
        <w:widowControl/>
        <w:spacing w:line="257" w:lineRule="auto" w:before="278" w:after="218"/>
        <w:ind w:left="2904" w:right="251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“publication” includes publication in print,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form including audio and video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live or delayed broadcasting;”;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 definition of the expression “President” or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“Speaker”, by the substitution for the words,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“President” or “Speaker” of the word, “Speaker”.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188"/>
        <w:ind w:left="28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 (Powers and Privileges)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11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 under the hand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clerk issued by direction of the President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Speaker or the chairman of the Committee”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words, “ under the hand of the Secretary-General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issued by direction of the Speaker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Chairman of the Committee”;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“five miles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Chamber of the House” of the words, “eight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kilometers of  Parliament”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“the President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12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Speaker” of the words, “the Speaker”.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“the President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13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Speaker” of the words, “the Speaker”.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11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14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“section 26 of this Act” of the words, “section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(2) of this Act”.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1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“No member,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17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of the House and no short hand writer employed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minutes” of the words, “No member, or officer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no transcript staff member employed to take </w:t>
      </w:r>
      <w:r>
        <w:rPr>
          <w:rFonts w:ascii="Times" w:hAnsi="Times" w:eastAsia="Times"/>
          <w:b w:val="0"/>
          <w:i w:val="0"/>
          <w:color w:val="221F1F"/>
          <w:sz w:val="20"/>
        </w:rPr>
        <w:t>minutes”.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of that section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 The President or Speaker”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 The Speaker”;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  <w:tab w:pos="368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 (Powers and Privileges)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47" w:lineRule="auto" w:before="254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(3) of that section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 the President or Speaker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shall be duly authenticated by the Clerk”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words, “the Speaker under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duly authenticated by the Secretary-General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(4) of that section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“The President or Speaker”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words, “The Speaker”;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“order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21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or Speaker” of the words, “order of the Speaker” 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1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22 of the principal enactment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14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“Speaker to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Speaker may allow any member to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allow a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 complaint in the case of an alleged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to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Part.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a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complaint.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Speaker may in an event of an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matters of an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 offence under this part refer such matter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alleged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required so to do–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to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Attorney-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by resolution  of Parliament; or</w:t>
            </w:r>
          </w:p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recommendation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on ethics and privileges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resolution of Parliament,</w:t>
      </w:r>
    </w:p>
    <w:p>
      <w:pPr>
        <w:autoSpaceDN w:val="0"/>
        <w:autoSpaceDE w:val="0"/>
        <w:widowControl/>
        <w:spacing w:line="245" w:lineRule="auto" w:before="254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Attorney-General to furnish a report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alleged offence.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matter is to be referred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Attorney-General under subsection (1)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0"/>
        <w:ind w:left="28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 (Powers and Privileges)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48" w:after="18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or any other member authorized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in that behalf or the Secretary –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Parliament authorized in that behalf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record on oath or affirmation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statement of the member making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complaint of the alleged offence;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record on oath or affirmation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statement of any other person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 evidence is or may be in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opinion of the  Speaker, relevant.</w:t>
      </w:r>
    </w:p>
    <w:p>
      <w:pPr>
        <w:autoSpaceDN w:val="0"/>
        <w:autoSpaceDE w:val="0"/>
        <w:widowControl/>
        <w:spacing w:line="245" w:lineRule="auto" w:before="240" w:after="4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(3)The statement of any other person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recorded under the preceding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section at any time after the matter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referred to the Attorney- General if 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considers it necessary whether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own motion or at the request of the Attorney-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provisions of sections 10 to 13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for the purpose of enabling statements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recorded under subsection (2)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in like manner as they apply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 of enabling evidence to be taken by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Committee, and for the purpose aforesaid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authorized by or under subsection (2)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section to take such statement shall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powers as are conferred by those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on a Committee or the Chairman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5" w:lineRule="auto" w:before="2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(5)The provisions of sections 15 to 17,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and in relation to any evidence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subsection (2) of this section.</w:t>
      </w:r>
    </w:p>
    <w:p>
      <w:pPr>
        <w:autoSpaceDN w:val="0"/>
        <w:autoSpaceDE w:val="0"/>
        <w:widowControl/>
        <w:spacing w:line="245" w:lineRule="auto" w:before="240" w:after="0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anything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preceding provisions of this section, a person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  <w:tab w:pos="3682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 (Powers and Privileges)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5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alleged to have committed an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Part shall not be bound or compelled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his consent to make any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(2) in relation to that offence.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26" w:after="6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matter is referred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to the Attorney-General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report, the record of all statements taken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subsections (2) and (3)shall be transmitted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Attorney- General, and the Attorney-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shall, after consideration of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statements, report to the Speaker stating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whether there is, in the opinion of the Attorney-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General, sufficient evidence to take further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steps under this Act in respect of an alleged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Part; and such report shall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contain, for the information of Parliament,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of the facts which in the opinion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Attorney- General, are capable of 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proved upon the evidence contained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statements.</w:t>
            </w:r>
          </w:p>
        </w:tc>
      </w:tr>
    </w:tbl>
    <w:p>
      <w:pPr>
        <w:autoSpaceDN w:val="0"/>
        <w:autoSpaceDE w:val="0"/>
        <w:widowControl/>
        <w:spacing w:line="245" w:lineRule="auto" w:before="186" w:after="6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the Attorney-General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a report to the Speaker in accordance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subsection (7) the House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consideration of such report shall by resolution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the Attorney- General to make an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6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application under section 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making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making of an application under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23 by the Attorney-General in any case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constitute conclusive evidence that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Attorney-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 has been duly made in accordance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constitute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provisions of section 22B.”.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conclusive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3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evidence.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24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“Section 49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Courts Ordinance”, of the words, “Article 136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Constitution”;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208"/>
        <w:ind w:left="28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 (Powers and Privileges)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25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26 of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of that section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27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“under section 26” of the words, “under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5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29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“the gentleman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Usher or the Sergeant-at-Arms as the case may be”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words, “ the Sergeant-at-Arms”;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“by the President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Speaker” of the words, “by the Speaker”.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“by the President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30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Speaker” of the words, “by the Speaker”;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32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Schedule to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Part B of the  Schedule by the repeal of item 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substitution therefor of the following item:-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tabs>
          <w:tab w:pos="2756" w:val="left"/>
          <w:tab w:pos="2758" w:val="left"/>
        </w:tabs>
        <w:autoSpaceDE w:val="0"/>
        <w:widowControl/>
        <w:spacing w:line="254" w:lineRule="auto" w:before="92" w:after="236"/>
        <w:ind w:left="23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“9.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publication of any proceedings of the House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of a Committee of Parliament which is–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held in camera; or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by the Speaker or by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Chairman of Committees.”.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  <w:tab w:pos="3682" w:val="left"/>
        </w:tabs>
        <w:autoSpaceDE w:val="0"/>
        <w:widowControl/>
        <w:spacing w:line="245" w:lineRule="auto" w:before="0" w:after="194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Parliament (Powers and Privileges)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principal enactment and in any other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there shall be substituted for the words, “Clerk”,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“Clerk of Parliament”, “President or the Speaker”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“Ceylon” of the words, “Secretary-General”, “Secretary-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of Parliament”, “Speaker” and “Sri Lanka”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respectively.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Every reference to the “clerk”, “Clerk of Parliament”,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“President or  Speaker, and “Ceylon” in any regulation, rule,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notice, notification, contract, communication,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shall be read and construed as a reference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respectively to the “Secretary-General” and “Secretary-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of Parliament” , “Speaker” and “Sri Lanka” 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sections 3, 10, 17, 18, 20, 21, 27(2) and (3), 29 and </w:t>
      </w:r>
      <w:r>
        <w:rPr>
          <w:rFonts w:ascii="Times" w:hAnsi="Times" w:eastAsia="Times"/>
          <w:b w:val="0"/>
          <w:i w:val="0"/>
          <w:color w:val="221F1F"/>
          <w:sz w:val="20"/>
        </w:rPr>
        <w:t>30 of the principal enactment, there shall be substituted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“House” of the word, “Parliament”.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Parliament (Powers and Privileges)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674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