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46" w:after="0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15, 2019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4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18.11.2019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8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4" w:after="0"/>
        <w:ind w:left="0" w:right="25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SRI  LANKA  PSYCHOLOGICAL</w:t>
      </w:r>
    </w:p>
    <w:p>
      <w:pPr>
        <w:autoSpaceDN w:val="0"/>
        <w:autoSpaceDE w:val="0"/>
        <w:widowControl/>
        <w:spacing w:line="238" w:lineRule="auto" w:before="50" w:after="0"/>
        <w:ind w:left="0" w:right="23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ASSOCIATION  (INCORPORATION)</w:t>
      </w:r>
    </w:p>
    <w:p>
      <w:pPr>
        <w:autoSpaceDN w:val="0"/>
        <w:autoSpaceDE w:val="0"/>
        <w:widowControl/>
        <w:spacing w:line="235" w:lineRule="auto" w:before="23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28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6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Sri Lanka Psychological Association</w:t>
      </w:r>
    </w:p>
    <w:p>
      <w:pPr>
        <w:autoSpaceDN w:val="0"/>
        <w:autoSpaceDE w:val="0"/>
        <w:widowControl/>
        <w:spacing w:line="245" w:lineRule="auto" w:before="344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Health, Nutrition &amp;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Indigenous Medicine</w:t>
      </w:r>
    </w:p>
    <w:p>
      <w:pPr>
        <w:autoSpaceDN w:val="0"/>
        <w:autoSpaceDE w:val="0"/>
        <w:widowControl/>
        <w:spacing w:line="238" w:lineRule="auto" w:before="41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024" w:right="14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autoSpaceDE w:val="0"/>
        <w:widowControl/>
        <w:spacing w:line="235" w:lineRule="auto" w:before="278" w:after="0"/>
        <w:ind w:left="0" w:right="21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Inc 30/2011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178" w:after="882"/>
        <w:ind w:left="7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0" w:after="0"/>
        <w:ind w:left="273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SYCHOLOGICAL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3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8" w:lineRule="auto" w:before="48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“Sri Lanka Psychological Association”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for the purpose of effectually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its objects and transacting all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Association according to the rules agreed to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members.</w:t>
      </w:r>
    </w:p>
    <w:p>
      <w:pPr>
        <w:autoSpaceDN w:val="0"/>
        <w:tabs>
          <w:tab w:pos="1796" w:val="left"/>
        </w:tabs>
        <w:autoSpaceDE w:val="0"/>
        <w:widowControl/>
        <w:spacing w:line="278" w:lineRule="auto" w:before="32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application.</w:t>
      </w:r>
    </w:p>
    <w:p>
      <w:pPr>
        <w:autoSpaceDN w:val="0"/>
        <w:autoSpaceDE w:val="0"/>
        <w:widowControl/>
        <w:spacing w:line="264" w:lineRule="auto" w:before="324" w:after="26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Psychological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(Incorporation) Act, No.       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Psychological Association (hereinafter referred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Psychological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“Association”) and shall hereafter be admitted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body corporate hereby constituted,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78" w:lineRule="auto" w:before="2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perpetual succession under the name and style of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Psychological Association”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“body corporate”), and by that name may sue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sued with full power and authority to have, and use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to alter the same at its pleasure.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  <w:tab w:pos="32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autoSpaceDE w:val="0"/>
        <w:widowControl/>
        <w:spacing w:line="247" w:lineRule="auto" w:before="250" w:after="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>(Registration and Supervision) Act, No. 31 of 1980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constituted are hereby declared to be–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and disseminate knowledge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psychology and its application in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encourage research into professional knowledge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psychology with a view to promoting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professional knowledge of psychology;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regulate the professional activities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and maintain proper standards in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development, standardization, use and evaluation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instruments and devices used in the practice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psychology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safeguard the professional interest of members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render assistance to expand the knowledge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professional expertise;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render assistance in doing experiments,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publications on psychology and facilitate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access to relevant material;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Code of Ethical Conduct in order to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ethical practice and prevent malpractices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 and others involved in the field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psychology;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conferences, workshops, lectures and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networking opportunities in various areas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psychology;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04" w:val="left"/>
          <w:tab w:pos="6494" w:val="left"/>
        </w:tabs>
        <w:autoSpaceDE w:val="0"/>
        <w:widowControl/>
        <w:spacing w:line="245" w:lineRule="auto" w:before="0" w:after="0"/>
        <w:ind w:left="316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66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periodical containing publications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to psychology and its related disciplines;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disseminate information on opportunities of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work and to make recommendations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members, of the desirable qualifications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psychology.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body corporate and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simultaneously by any Ministry or Department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or of any Provincial Council.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92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Province.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administration of the affairs of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Council of Management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corporate. 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“Council”) consisting of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6" w:lineRule="auto" w:before="2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of the Association that holds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function subject to the rules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Interim Council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until the first Council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appointed or elected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manner provided for by rules 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section 7, the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have the power to make rules for the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body corporate and for election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of the members of the first Council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  <w:tab w:pos="32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Interim Council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members present.</w:t>
      </w:r>
    </w:p>
    <w:p>
      <w:pPr>
        <w:autoSpaceDN w:val="0"/>
        <w:autoSpaceDE w:val="0"/>
        <w:widowControl/>
        <w:spacing w:line="245" w:lineRule="auto" w:before="25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first Council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or elected within one year of the date of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14" w:after="0"/>
        <w:ind w:left="14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2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47" w:lineRule="auto" w:before="244" w:after="194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 Council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person elected or appointed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hold office only for the unexpired portion of the term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 of the member whom he succeeds.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furtherance of the objects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acquire, rent, construct, renovate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obtain lands or buildings which may be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purposes of the body corporate 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or carry out, whether directly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through any officer or agent authorized in that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behalf by the body corporate, all such contracts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04" w:val="left"/>
          <w:tab w:pos="6494" w:val="left"/>
        </w:tabs>
        <w:autoSpaceDE w:val="0"/>
        <w:widowControl/>
        <w:spacing w:line="245" w:lineRule="auto" w:before="0" w:after="0"/>
        <w:ind w:left="316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autoSpaceDE w:val="0"/>
        <w:widowControl/>
        <w:spacing w:line="254" w:lineRule="auto" w:before="260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borrow or raise funds with or without securities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receive grants, gifts or donations in cash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autoSpaceDE w:val="0"/>
        <w:widowControl/>
        <w:spacing w:line="254" w:lineRule="auto" w:before="276" w:after="12"/>
        <w:ind w:left="2516" w:right="242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Resources in respect of all foreign grants, gifts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 made to the body corporate;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operate, maintain and close accounts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bank;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any funds that are not immediately required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corporate,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manner as the  Council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officers and servants of the body corporate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to promoting the objects of the body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2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corporate;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  <w:tab w:pos="32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194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personnel in Sri Lanka or abroad for the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the body corporate;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a majority of not less than two-thirds of the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 Council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vacation of, or removal from office of office bearers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powers, duties and functions of the office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officers, agents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for the summoning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 Council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sub-committee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to be a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 of the  Council and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04" w:val="left"/>
          <w:tab w:pos="6494" w:val="left"/>
        </w:tabs>
        <w:autoSpaceDE w:val="0"/>
        <w:widowControl/>
        <w:spacing w:line="245" w:lineRule="auto" w:before="0" w:after="0"/>
        <w:ind w:left="316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8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 body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and the accomplishment of its’ objects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dissolution of the body corporate.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to,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rules made under subsection (1) shall be published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82" w:after="18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inscribed.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subscription, contribution, fees or grant for and on 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body corporate shall be deposited in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approved by the Council to the credit of the body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autoSpaceDN w:val="0"/>
        <w:autoSpaceDE w:val="0"/>
        <w:widowControl/>
        <w:spacing w:line="245" w:lineRule="auto" w:before="24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>money as are required to defray any expenditure incurred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in the exercise, performance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8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  <w:tab w:pos="3210" w:val="left"/>
        </w:tabs>
        <w:autoSpaceDE w:val="0"/>
        <w:widowControl/>
        <w:spacing w:line="245" w:lineRule="auto" w:before="0" w:after="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autoSpaceDE w:val="0"/>
        <w:widowControl/>
        <w:spacing w:line="295" w:lineRule="auto" w:before="2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Auditor General in terms of Article 154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78" w:after="0"/>
        <w:ind w:left="1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300" w:lineRule="auto" w:before="3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302" w:lineRule="auto" w:before="374" w:after="314"/>
        <w:ind w:left="13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Institute.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 Council  shall prepare a report of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Report.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body corporate for each financial year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such report together with the audited statement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305" w:lineRule="auto" w:before="3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the Secretary of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Health and to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Organizations (Registration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Supervision) Act, No. 31 of 1980 before the expiration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 months of the year succeeding the year to which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04" w:val="left"/>
          <w:tab w:pos="6494" w:val="left"/>
        </w:tabs>
        <w:autoSpaceDE w:val="0"/>
        <w:widowControl/>
        <w:spacing w:line="245" w:lineRule="auto" w:before="0" w:after="0"/>
        <w:ind w:left="316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autoSpaceDE w:val="0"/>
        <w:widowControl/>
        <w:spacing w:line="247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 and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Association on that day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to the body corporate for the purposes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</w:tbl>
    <w:p>
      <w:pPr>
        <w:autoSpaceDN w:val="0"/>
        <w:autoSpaceDE w:val="0"/>
        <w:widowControl/>
        <w:spacing w:line="247" w:lineRule="auto" w:before="2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exchange,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property.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>indirectly by way of dividend, bonus or profit to the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 Council who shall sign their names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instrument in token of their presence and such signing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independent of the signing of any person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>of an office bearer of the Council as may be decided by the</w:t>
      </w:r>
    </w:p>
    <w:p>
      <w:pPr>
        <w:autoSpaceDN w:val="0"/>
        <w:autoSpaceDE w:val="0"/>
        <w:widowControl/>
        <w:spacing w:line="238" w:lineRule="auto" w:before="5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  <w:tab w:pos="3210" w:val="left"/>
        </w:tabs>
        <w:autoSpaceDE w:val="0"/>
        <w:widowControl/>
        <w:spacing w:line="245" w:lineRule="auto" w:before="0" w:after="200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Psychological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distributed among the members of the body corporate,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shall be given or transferred to any other institution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2" w:after="21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by the majority of votes of the members present.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prevail.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50" w:space="0"/>
            <w:col w:w="327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Psychological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Association (Incorporation)</w:t>
      </w:r>
    </w:p>
    <w:p>
      <w:pPr>
        <w:autoSpaceDN w:val="0"/>
        <w:autoSpaceDE w:val="0"/>
        <w:widowControl/>
        <w:spacing w:line="235" w:lineRule="auto" w:before="8652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750" w:space="0"/>
        <w:col w:w="327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