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15,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19. 11. 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518" w:after="0"/>
        <w:ind w:left="0" w:right="38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54" w:after="0"/>
        <w:ind w:left="0" w:right="24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5" w:lineRule="auto" w:before="35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Inland Revenue Act, No. 24 of 2017</w:t>
      </w:r>
    </w:p>
    <w:p>
      <w:pPr>
        <w:autoSpaceDN w:val="0"/>
        <w:autoSpaceDE w:val="0"/>
        <w:widowControl/>
        <w:spacing w:line="235" w:lineRule="auto" w:before="398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5" w:lineRule="auto" w:before="33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5" w:lineRule="auto" w:before="208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tabs>
          <w:tab w:pos="1582" w:val="left"/>
          <w:tab w:pos="3216" w:val="left"/>
        </w:tabs>
        <w:autoSpaceDE w:val="0"/>
        <w:widowControl/>
        <w:spacing w:line="293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 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5 of the Inland Revenue Act, No. 24 of 2017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the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exempt  contributions made by an employer to a gratuity fund when </w:t>
      </w:r>
      <w:r>
        <w:rPr>
          <w:rFonts w:ascii="Times" w:hAnsi="Times" w:eastAsia="Times"/>
          <w:b w:val="0"/>
          <w:i w:val="0"/>
          <w:color w:val="000000"/>
          <w:sz w:val="16"/>
        </w:rPr>
        <w:t>calculating an individual’s gains and profits from an employment.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,Bold" w:hAnsi="Times,Bold" w:eastAsia="Times,Bold"/>
          <w:b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6 of the principal enactment,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expand the categories of businesses in respect of which </w:t>
      </w:r>
      <w:r>
        <w:rPr>
          <w:rFonts w:ascii="Times" w:hAnsi="Times" w:eastAsia="Times"/>
          <w:b w:val="0"/>
          <w:i w:val="0"/>
          <w:color w:val="000000"/>
          <w:sz w:val="16"/>
        </w:rPr>
        <w:t>investment incentives and temporary concessions may be given.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4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10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disallow the tax paid by the employer on behalf of </w:t>
      </w:r>
      <w:r>
        <w:rPr>
          <w:rFonts w:ascii="Times" w:hAnsi="Times" w:eastAsia="Times"/>
          <w:b w:val="0"/>
          <w:i w:val="0"/>
          <w:color w:val="000000"/>
          <w:sz w:val="16"/>
        </w:rPr>
        <w:t>the employee, as a deduction.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5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14 of the principal enactment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>clarity.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6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16 of the principal enactment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>clarity.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7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18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specify the deductible amount of financial cost of a </w:t>
      </w:r>
      <w:r>
        <w:rPr>
          <w:rFonts w:ascii="Times" w:hAnsi="Times" w:eastAsia="Times"/>
          <w:b w:val="0"/>
          <w:i w:val="0"/>
          <w:color w:val="000000"/>
          <w:sz w:val="16"/>
        </w:rPr>
        <w:t>company.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8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19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disallow the deduction of any loss from a gain of an </w:t>
      </w:r>
      <w:r>
        <w:rPr>
          <w:rFonts w:ascii="Times" w:hAnsi="Times" w:eastAsia="Times"/>
          <w:b w:val="0"/>
          <w:i w:val="0"/>
          <w:color w:val="000000"/>
          <w:sz w:val="16"/>
        </w:rPr>
        <w:t>investment asset.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9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20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enable a trust or company to </w:t>
      </w:r>
      <w:r>
        <w:rPr>
          <w:rFonts w:ascii="Times" w:hAnsi="Times" w:eastAsia="Times"/>
          <w:b w:val="0"/>
          <w:i w:val="0"/>
          <w:color w:val="000000"/>
          <w:sz w:val="16"/>
        </w:rPr>
        <w:t>change its year of assessment.</w:t>
      </w:r>
    </w:p>
    <w:p>
      <w:pPr>
        <w:autoSpaceDN w:val="0"/>
        <w:autoSpaceDE w:val="0"/>
        <w:widowControl/>
        <w:spacing w:line="245" w:lineRule="auto" w:before="190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10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68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require a non-governmental </w:t>
      </w:r>
      <w:r>
        <w:rPr>
          <w:rFonts w:ascii="Times" w:hAnsi="Times" w:eastAsia="Times"/>
          <w:b w:val="0"/>
          <w:i w:val="0"/>
          <w:color w:val="000000"/>
          <w:sz w:val="16"/>
        </w:rPr>
        <w:t>organization to pay a specified additional tax.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9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11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70 of the principal enactment for the purpose </w:t>
      </w:r>
      <w:r>
        <w:rPr>
          <w:rFonts w:ascii="Times" w:hAnsi="Times" w:eastAsia="Times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9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12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84 of the principal enactment for the purpose </w:t>
      </w:r>
      <w:r>
        <w:rPr>
          <w:rFonts w:ascii="Times" w:hAnsi="Times" w:eastAsia="Times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45" w:lineRule="auto" w:before="19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13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85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exclude the service fees and contract payments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withholding tax liability, if a certificate is presented confirming the making of relevant </w:t>
      </w:r>
      <w:r>
        <w:rPr>
          <w:rFonts w:ascii="Times" w:hAnsi="Times" w:eastAsia="Times"/>
          <w:b w:val="0"/>
          <w:i w:val="0"/>
          <w:color w:val="000000"/>
          <w:sz w:val="16"/>
        </w:rPr>
        <w:t>payments.</w:t>
      </w:r>
    </w:p>
    <w:p>
      <w:pPr>
        <w:autoSpaceDN w:val="0"/>
        <w:autoSpaceDE w:val="0"/>
        <w:widowControl/>
        <w:spacing w:line="245" w:lineRule="auto" w:before="19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14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87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extend the period within which the withholding </w:t>
      </w:r>
      <w:r>
        <w:rPr>
          <w:rFonts w:ascii="Times" w:hAnsi="Times" w:eastAsia="Times"/>
          <w:b w:val="0"/>
          <w:i w:val="0"/>
          <w:color w:val="000000"/>
          <w:sz w:val="16"/>
        </w:rPr>
        <w:t>certificate shall be served on the withholdee.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9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15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88 of the principal enactment for the purpose </w:t>
      </w:r>
      <w:r>
        <w:rPr>
          <w:rFonts w:ascii="Times" w:hAnsi="Times" w:eastAsia="Times"/>
          <w:b w:val="0"/>
          <w:i w:val="0"/>
          <w:color w:val="000000"/>
          <w:sz w:val="16"/>
        </w:rPr>
        <w:t>of clarity.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16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129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require a person to file a return of information or </w:t>
      </w:r>
      <w:r>
        <w:rPr>
          <w:rFonts w:ascii="Times" w:hAnsi="Times" w:eastAsia="Times"/>
          <w:b w:val="0"/>
          <w:i w:val="0"/>
          <w:color w:val="000000"/>
          <w:sz w:val="16"/>
        </w:rPr>
        <w:t>annual statement.</w:t>
      </w:r>
    </w:p>
    <w:p>
      <w:pPr>
        <w:autoSpaceDN w:val="0"/>
        <w:autoSpaceDE w:val="0"/>
        <w:widowControl/>
        <w:spacing w:line="245" w:lineRule="auto" w:before="19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17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139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require the furnishing of a return or annual statement </w:t>
      </w:r>
      <w:r>
        <w:rPr>
          <w:rFonts w:ascii="Times" w:hAnsi="Times" w:eastAsia="Times"/>
          <w:b w:val="0"/>
          <w:i w:val="0"/>
          <w:color w:val="000000"/>
          <w:sz w:val="16"/>
        </w:rPr>
        <w:t>when an objection is made against an assessment.</w:t>
      </w:r>
    </w:p>
    <w:p>
      <w:pPr>
        <w:autoSpaceDN w:val="0"/>
        <w:autoSpaceDE w:val="0"/>
        <w:widowControl/>
        <w:spacing w:line="245" w:lineRule="auto" w:before="19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18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195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broaden the definition of the term “agricultural </w:t>
      </w:r>
      <w:r>
        <w:rPr>
          <w:rFonts w:ascii="Times" w:hAnsi="Times" w:eastAsia="Times"/>
          <w:b w:val="0"/>
          <w:i w:val="0"/>
          <w:color w:val="000000"/>
          <w:sz w:val="16"/>
        </w:rPr>
        <w:t>businesses”.</w:t>
      </w:r>
    </w:p>
    <w:p>
      <w:pPr>
        <w:autoSpaceDN w:val="0"/>
        <w:tabs>
          <w:tab w:pos="1678" w:val="left"/>
          <w:tab w:pos="1766" w:val="left"/>
          <w:tab w:pos="2158" w:val="left"/>
        </w:tabs>
        <w:autoSpaceDE w:val="0"/>
        <w:widowControl/>
        <w:spacing w:line="338" w:lineRule="auto" w:before="19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19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First Schedule to the principal enactment,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Schedule as amended is to-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limit the relevant income tax liability to businesses engaged in   manufacture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 and sale of any liquor or tobacco product;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specify a rate of tax in relation to payment of royalty.</w:t>
      </w:r>
    </w:p>
    <w:p>
      <w:pPr>
        <w:autoSpaceDN w:val="0"/>
        <w:tabs>
          <w:tab w:pos="1678" w:val="left"/>
          <w:tab w:pos="1766" w:val="left"/>
          <w:tab w:pos="2158" w:val="left"/>
        </w:tabs>
        <w:autoSpaceDE w:val="0"/>
        <w:widowControl/>
        <w:spacing w:line="322" w:lineRule="auto" w:before="19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20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Second Schedule to the principal enactment, and </w:t>
      </w:r>
      <w:r>
        <w:rPr>
          <w:rFonts w:ascii="Times" w:hAnsi="Times" w:eastAsia="Times"/>
          <w:b w:val="0"/>
          <w:i w:val="0"/>
          <w:color w:val="000000"/>
          <w:sz w:val="16"/>
        </w:rPr>
        <w:t>the legal effect of the Schedule as amended is to-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for granting enhanced capital allowances to persons who invest in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businesses as well as in the expansion of an existing business;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for the exemption of certain employment income from the Withholding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Tax.</w:t>
      </w:r>
    </w:p>
    <w:p>
      <w:pPr>
        <w:autoSpaceDN w:val="0"/>
        <w:tabs>
          <w:tab w:pos="1678" w:val="left"/>
          <w:tab w:pos="1766" w:val="left"/>
          <w:tab w:pos="1782" w:val="left"/>
          <w:tab w:pos="2158" w:val="left"/>
        </w:tabs>
        <w:autoSpaceDE w:val="0"/>
        <w:widowControl/>
        <w:spacing w:line="331" w:lineRule="auto" w:before="19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21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Third Schedule to the principal enactment,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Schedule as amended is to grant tax exemptions 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 accruing to or derived by charitable institutions that provide care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children, the elderly or the disabled;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sum of money received by any person from the President’s Fund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Defence Fund or by any Public Corporation from the Consolidated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 out of any loan arranged through the Government;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income earned by a resident or non-resident on sovereign bonds issued by or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the Government;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dividends paid by certain resident companies  under specified 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by other companies engaged in specified businesses.</w:t>
      </w:r>
    </w:p>
    <w:p>
      <w:pPr>
        <w:autoSpaceDN w:val="0"/>
        <w:autoSpaceDE w:val="0"/>
        <w:widowControl/>
        <w:spacing w:line="245" w:lineRule="auto" w:before="19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22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Fifth Schedule to the principal enactment,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Schedule as amended is to expand the scope of the qualifying payments </w:t>
      </w:r>
      <w:r>
        <w:rPr>
          <w:rFonts w:ascii="Times" w:hAnsi="Times" w:eastAsia="Times"/>
          <w:b w:val="0"/>
          <w:i w:val="0"/>
          <w:color w:val="000000"/>
          <w:sz w:val="16"/>
        </w:rPr>
        <w:t>and reliefs.</w:t>
      </w:r>
    </w:p>
    <w:p>
      <w:pPr>
        <w:autoSpaceDN w:val="0"/>
        <w:autoSpaceDE w:val="0"/>
        <w:widowControl/>
        <w:spacing w:line="245" w:lineRule="auto" w:before="190" w:after="0"/>
        <w:ind w:left="1438" w:right="1296" w:firstLine="24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23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Sixth Schedule to the principal enactment,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Schedule as amended is to expand the scope of temporary concessions.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19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24 </w:t>
      </w:r>
      <w:r>
        <w:rPr>
          <w:rFonts w:ascii="Times,BoldItalic" w:hAnsi="Times,BoldItalic" w:eastAsia="Times,BoldItalic"/>
          <w:b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makes provisions to give retrospective effect to certain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amendments made to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19/2018</w:t>
      </w:r>
    </w:p>
    <w:p>
      <w:pPr>
        <w:autoSpaceDN w:val="0"/>
        <w:autoSpaceDE w:val="0"/>
        <w:widowControl/>
        <w:spacing w:line="238" w:lineRule="auto" w:before="294" w:after="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Inland Revenue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Inland Revenue Act, No. 24 of 2017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Inland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in subsection (3) of that section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Revenue Act,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No. 24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 by the  substitution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“on equal terms;” of the words “in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grade of the service, on equal terms;”;</w:t>
      </w:r>
    </w:p>
    <w:p>
      <w:pPr>
        <w:autoSpaceDN w:val="0"/>
        <w:autoSpaceDE w:val="0"/>
        <w:widowControl/>
        <w:spacing w:line="262" w:lineRule="auto" w:before="292" w:after="2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 substitution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for the words  “provident or savings fund or savings society”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“provident, gratuity or savings fund or savings </w:t>
      </w:r>
      <w:r>
        <w:rPr>
          <w:rFonts w:ascii="Times" w:hAnsi="Times" w:eastAsia="Times"/>
          <w:b w:val="0"/>
          <w:i w:val="0"/>
          <w:color w:val="000000"/>
          <w:sz w:val="20"/>
        </w:rPr>
        <w:t>society”.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 substitution  for the words “the Second or Fourth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Act”, of the words “the Second, Fourth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Sixth Schedule to this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tabs>
          <w:tab w:pos="6718" w:val="left"/>
        </w:tabs>
        <w:autoSpaceDE w:val="0"/>
        <w:widowControl/>
        <w:spacing w:line="245" w:lineRule="auto" w:before="6" w:after="0"/>
        <w:ind w:left="203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(1) in 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(1) of that section–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enactment.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290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(v)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“provident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8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savings fund” of the words “provident,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gratuity or savings fund”;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8" w:after="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(ix) of that paragraph,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 substitution for the   words “betting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gambling; or” of the words “betting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gambling;”;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(x) of that paragraph,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 substitution for the words “by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 of the words “by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Commissioner-General;”;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 addition immediately after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(x) of that 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“(xi)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total amount of tax paid by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employer  on behalf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employee.”;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 substitution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“shall not be allowed”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“shall not be allowed where the tax is not withheld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 “(paragraph (3) of the Fourth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Schedule)”, of the words and figure “(paragraph 3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Fourth Schedule)”.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16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Second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Fourth Schedule to this Act.” of the words “the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Second, Fourth or Sixth Schedule to this Act.”;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78" w:after="12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repeal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calculated in accordance with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the Second, Fourth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Sixth 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“in calculating an entity’s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income,” of the words “in calculating a company’s income,”.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“reduced by any loss on the disposal of another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asset.”, of the words “reduced by any loss.”.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amendedas follows:-–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 20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 “its year of assessment”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“the period of twelve months constituting a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assessment”;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 a trust or company’s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shall”, of the words and the figure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“approved under subsection (2) shall not”.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68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“additional tax of three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on amounts”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 “additional tax on three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amounts”.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70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69,” of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section 69,”.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84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“provided by it; or”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“provided by it;”.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 repeal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and the substitution therefor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 paragraph:–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9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payments of service fees and contract payments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which a certificate is presented by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18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recipient person confirming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 which are chargeable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Service Charge under the Economic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Charge Act, No. 13 of 2006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87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“of that year or,”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“of the subsequent year or,”.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88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 that section,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words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section 84”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of section 84”;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 that section, by the 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of section 84”, of the words and figures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(3) of section 84”.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129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“to file a return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related to matters”, of the word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“to file a return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information or annual statement”.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(3)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 following subsection:–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“(3) Where the request is an objection against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assessment which has been made in the absence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return or annual statement required to be made,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notice of request relating to the objection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sent together with a return or annual statement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duly made,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195 of the principal enactment is 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for the definition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“agricultural business” of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subsection, of the following definition:–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 “agricultural business” means,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producing any agricultural, horticultural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animal produce and includes–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242" w:after="4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for the cleaning, sizing,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sorting, grading, chilling, dehydrating,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packaging, cutting or canning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preparation of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agricultural, horticultural or animal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produce for the market; and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240" w:after="182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rearing livestock or poultry;”;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 the definition of the expression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“dividend”, by the substitution for the words “share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buy-back”, of the words “share buy-back”.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3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3"/>
        </w:trPr>
        <w:tc>
          <w:tcPr>
            <w:tcW w:type="dxa" w:w="150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Schedule to the principal enactment 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503"/>
            <w:vMerge/>
            <w:tcBorders/>
          </w:tcPr>
          <w:p/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 paragraph 1 of that Schedule–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1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(3) of that paragraph–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503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 substitution for the words and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figure, “referred to in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shall be-”, of the words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 “referred to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(2) shall be–”;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employer;” of the words “by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employer;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 repeal of   items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subparagraph;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re-lettering of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subparagraph, as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(4) of that paragraph, by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“liquor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tobacco.”, of the words  “manufacture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sale or import and sale of any liquor or tobacco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(iii) of subparagraph (3) of paragraph 4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 substitution for the words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“based on gross income”, of the words “based 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gross income (other than investment income)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business.”;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heading of paragraph 8 of that Schedule,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“Provident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 Funds” of the words “Provident,  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Gratuity Funds”;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subparagraph (1)(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10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Schedule-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45" w:lineRule="auto" w:before="240" w:after="162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 item (iii) of  that subparagraph,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“rent paid to a resident person–10%; and”,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“rent paid to a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person–10%, if the rent exceeds Rs. 50,000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 month or Rs. 500,000 per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item (iii)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subparagraph,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item:–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“(iv)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royalty paid to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 person–14% if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exceeds Rs. 50,000 per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 or Rs. 500,000 per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assessment; and”; and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0" w:after="158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renumbering  of item (iv)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subparagraph,  as item (v)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Schedule, by the repeal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(1) and the substitution therefor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subparagraph:–</w:t>
      </w:r>
    </w:p>
    <w:p>
      <w:pPr>
        <w:autoSpaceDN w:val="0"/>
        <w:tabs>
          <w:tab w:pos="2758" w:val="left"/>
          <w:tab w:pos="3058" w:val="left"/>
        </w:tabs>
        <w:autoSpaceDE w:val="0"/>
        <w:widowControl/>
        <w:spacing w:line="247" w:lineRule="auto" w:before="22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Enhanced capital allowances computed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this  paragraph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granted–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45" w:lineRule="auto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addition to the capital allowances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computed under the Fourth Schedule,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invests in Sri Lanka (other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expansion of an existing business),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during a year of assessment;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142" w:val="left"/>
        </w:tabs>
        <w:autoSpaceDE w:val="0"/>
        <w:widowControl/>
        <w:spacing w:line="247" w:lineRule="auto" w:before="484" w:after="8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instead of the capital allowances computed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Fourth Schedule, to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invests in Sri Lanka for the expansion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 existing business, during  a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assessment.”;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 paragraph 3 of that Schedule,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paragraph:–</w:t>
      </w:r>
    </w:p>
    <w:p>
      <w:pPr>
        <w:autoSpaceDN w:val="0"/>
        <w:tabs>
          <w:tab w:pos="2662" w:val="left"/>
          <w:tab w:pos="3622" w:val="left"/>
        </w:tabs>
        <w:autoSpaceDE w:val="0"/>
        <w:widowControl/>
        <w:spacing w:line="250" w:lineRule="auto" w:before="254" w:after="0"/>
        <w:ind w:left="13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Exemption of Employment Income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Withholding Tax</w:t>
      </w:r>
    </w:p>
    <w:p>
      <w:pPr>
        <w:autoSpaceDN w:val="0"/>
        <w:tabs>
          <w:tab w:pos="2662" w:val="left"/>
          <w:tab w:pos="3040" w:val="left"/>
        </w:tabs>
        <w:autoSpaceDE w:val="0"/>
        <w:widowControl/>
        <w:spacing w:line="250" w:lineRule="auto" w:before="240" w:after="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in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Schedule, the rate of tax to be withheld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by an employer to an expatriate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shall be zero, if the company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has incurred more than USD 1,000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on depreciable assets 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assets in Sri Lanka or is entitled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enhanced capital allowance under 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of paragraph 1, and that payment is made 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profits sheltered by enhanced capital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allowances under this Schedule, where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expatriate employees does not exceed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twenty.”.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Third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 addition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subparagraph (vii) of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paragraph, of the following:–</w:t>
      </w:r>
    </w:p>
    <w:p>
      <w:pPr>
        <w:autoSpaceDN w:val="0"/>
        <w:autoSpaceDE w:val="0"/>
        <w:widowControl/>
        <w:spacing w:line="235" w:lineRule="auto" w:before="25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“Provided, however, that the exemption under</w:t>
      </w:r>
    </w:p>
    <w:p>
      <w:pPr>
        <w:autoSpaceDN w:val="0"/>
        <w:tabs>
          <w:tab w:pos="2662" w:val="left"/>
        </w:tabs>
        <w:autoSpaceDE w:val="0"/>
        <w:widowControl/>
        <w:spacing w:line="274" w:lineRule="auto" w:before="14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paragraph shall not apply to–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18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gains and profits from dividends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any institution other than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78" w:after="0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specified in subparagraph (i)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subparagraph (ii); and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42" w:after="4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institutions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(i) and subparagraph (ii),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1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disallowable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(xi)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section 10;”;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42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 subparagraph (ii)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Schedule, by the substitution for the words “by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Commissioner-General;”, of the words “by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or a regulated provident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fund;”;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2" w:after="16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interest accruing to or derived by–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charitable institution, where it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proved to the satisfaction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that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interest is applied solely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of providing care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children, the elderly or the disabled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 home maintained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charitable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outside Sri Lanka on any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loan granted to any person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to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by such person, 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any loan granted to its holding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or a subsidiary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on moneys lying to his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60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in foreign currency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foreign currency account opened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4" w:lineRule="auto" w:before="488" w:after="1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him or on his behalf,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specialized bank, with the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of Sri Lanka,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period of five years commencing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July 1, 2019;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child who is a citizen of Sri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and resident in Sri Lanka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is less than 18 years old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day of the year of assessment,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0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five thousand rupees per month,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deposit maintained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authorized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accept deposits from the 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or any registered society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Co-operative Societies Law, No. 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1972;”;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(k)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Schedule, and</w:t>
            </w:r>
          </w:p>
        </w:tc>
      </w:tr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 therefor of the following:–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sum received by–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from the President’s Fund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the President’s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Act, No. 7 of 1978 or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Defence Fund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National Defence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9  of 1985;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Public Corporation out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voted by Parliament from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Consolidated Fund  or out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loan arranged through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6" w:after="19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(l)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Schedule,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 therefor 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income earned by–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non-resident person other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a Sri Lankan permanent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76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by way of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discount or realization of any gain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any  sovereign bond denominated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local or foreign currency;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resident person   by way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discount paid or allowed,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on any sovereign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bond denominated in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currency, including Sri Lanka</w:t>
      </w:r>
    </w:p>
    <w:p>
      <w:pPr>
        <w:autoSpaceDN w:val="0"/>
        <w:tabs>
          <w:tab w:pos="3718" w:val="left"/>
        </w:tabs>
        <w:autoSpaceDE w:val="0"/>
        <w:widowControl/>
        <w:spacing w:line="262" w:lineRule="auto" w:before="1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Bonds,</w:t>
      </w:r>
    </w:p>
    <w:p>
      <w:pPr>
        <w:autoSpaceDN w:val="0"/>
        <w:autoSpaceDE w:val="0"/>
        <w:widowControl/>
        <w:spacing w:line="245" w:lineRule="auto" w:before="230" w:after="0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or on behalf of the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(o)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Schedule,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 therefor of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dividend paid by–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resident company to a member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extent that dividend payment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attributable to, or derived from,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another dividend received by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0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resident company or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 company that was subject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withholding under section 84;</w:t>
      </w:r>
    </w:p>
    <w:p>
      <w:pPr>
        <w:autoSpaceDN w:val="0"/>
        <w:tabs>
          <w:tab w:pos="3298" w:val="left"/>
          <w:tab w:pos="371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company engaged in any 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of the following businesses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IV of the Finance Act, No. 12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48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2012 and which has entered into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Board of Investment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Law No. 4 of 1978:–</w:t>
      </w:r>
    </w:p>
    <w:p>
      <w:pPr>
        <w:autoSpaceDN w:val="0"/>
        <w:tabs>
          <w:tab w:pos="4222" w:val="left"/>
          <w:tab w:pos="4224" w:val="left"/>
        </w:tabs>
        <w:autoSpaceDE w:val="0"/>
        <w:widowControl/>
        <w:spacing w:line="245" w:lineRule="auto" w:before="254" w:after="194"/>
        <w:ind w:left="36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entrepot trade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import, minor processing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re-export;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10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business where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goods can be procured from</w:t>
            </w:r>
          </w:p>
        </w:tc>
      </w:tr>
    </w:tbl>
    <w:p>
      <w:pPr>
        <w:autoSpaceDN w:val="0"/>
        <w:autoSpaceDE w:val="0"/>
        <w:widowControl/>
        <w:spacing w:line="247" w:lineRule="auto" w:before="8" w:after="4"/>
        <w:ind w:left="42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one country or manufactured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one country and shipped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another country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bringing the same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0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front-end services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clients abroad;</w:t>
      </w:r>
    </w:p>
    <w:p>
      <w:pPr>
        <w:autoSpaceDN w:val="0"/>
        <w:tabs>
          <w:tab w:pos="3698" w:val="left"/>
          <w:tab w:pos="4222" w:val="left"/>
          <w:tab w:pos="4224" w:val="left"/>
        </w:tabs>
        <w:autoSpaceDE w:val="0"/>
        <w:widowControl/>
        <w:spacing w:line="247" w:lineRule="auto" w:before="254" w:after="19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leading buyers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supply chain and billing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0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logistics services including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bonded warehouse or multi-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 consolidation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Fifth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paragraph,   by the substitution for the words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0" w:lineRule="auto" w:before="490" w:after="21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“the taxable income”,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assessable income”;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iib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 by    the substitution for the words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taxable income”, of the words “the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assessable income”;</w:t>
      </w:r>
    </w:p>
    <w:p>
      <w:pPr>
        <w:autoSpaceDN w:val="0"/>
        <w:tabs>
          <w:tab w:pos="2606" w:val="left"/>
          <w:tab w:pos="299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“profits remitted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President’s Fund”,  of the words “any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paid to the Consolidated Fund 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Fund”;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2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Schedule, by the substitution for the words “foreign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in Sri Lanka,”, of the words “foreign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and remitted to Sri Lanka through a bank,”.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Sixth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Sixth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Schedule, by the repeal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 (1)  of that paragraph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therefor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subparagraph:–</w:t>
      </w:r>
    </w:p>
    <w:p>
      <w:pPr>
        <w:autoSpaceDN w:val="0"/>
        <w:tabs>
          <w:tab w:pos="2758" w:val="left"/>
          <w:tab w:pos="305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Enhanced capital allowances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depreciable  assets referred to in 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(4), computed in accordance with this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granted–</w:t>
      </w:r>
    </w:p>
    <w:p>
      <w:pPr>
        <w:autoSpaceDN w:val="0"/>
        <w:tabs>
          <w:tab w:pos="3072" w:val="left"/>
          <w:tab w:pos="3478" w:val="left"/>
        </w:tabs>
        <w:autoSpaceDE w:val="0"/>
        <w:widowControl/>
        <w:spacing w:line="257" w:lineRule="auto" w:before="27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addition to the capital allowances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computed under the Fourth Schedule,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person who invests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(other than the expansion of an existing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business), during a year of assessment;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484" w:after="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instead of the capital allowances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computed under the Fourth Schedule,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person who invests in Sri Lanka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expansion of an existing business,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during  a year of assessment.”;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5 of that Schedule–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First Schedule;”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“within the meaning of the First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Schedule; and”;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re-lettering of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Retrospective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as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amendments made by  section 9 of this Act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and the amendment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effect.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section 21 of this Act to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and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 of the Third Schedule to 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enactment, shall be deemed, for all purposes,  to have come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force on April 1, 2018.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44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