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413" w:lineRule="auto" w:before="366" w:after="0"/>
        <w:ind w:left="3024" w:right="288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November 15, 2019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20.11.2019  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00" w:after="0"/>
        <w:ind w:left="169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 SERVICE  CHARGE  (AMENDMENT)</w:t>
      </w:r>
    </w:p>
    <w:p>
      <w:pPr>
        <w:autoSpaceDN w:val="0"/>
        <w:autoSpaceDE w:val="0"/>
        <w:widowControl/>
        <w:spacing w:line="370" w:lineRule="auto" w:before="432" w:after="0"/>
        <w:ind w:left="4176" w:right="403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90" w:after="0"/>
        <w:ind w:left="209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Economic Service Charge Act, No. 13 of 2006</w:t>
      </w:r>
    </w:p>
    <w:p>
      <w:pPr>
        <w:autoSpaceDN w:val="0"/>
        <w:autoSpaceDE w:val="0"/>
        <w:widowControl/>
        <w:spacing w:line="238" w:lineRule="auto" w:before="37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8" w:lineRule="auto" w:before="3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2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Price :</w:t>
      </w:r>
      <w:r>
        <w:rPr>
          <w:rFonts w:ascii="Times,Bold" w:hAnsi="Times,Bold" w:eastAsia="Times,Bold"/>
          <w:b/>
          <w:i w:val="0"/>
          <w:color w:val="221F1F"/>
          <w:sz w:val="20"/>
        </w:rPr>
        <w:t>Rs. 1</w:t>
      </w:r>
      <w:r>
        <w:rPr>
          <w:rFonts w:ascii="Times" w:hAnsi="Times" w:eastAsia="Times"/>
          <w:b/>
          <w:i w:val="0"/>
          <w:color w:val="221F1F"/>
          <w:sz w:val="20"/>
        </w:rPr>
        <w:t>2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33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172" w:after="0"/>
        <w:ind w:left="1346" w:right="143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 of the Economic Service Charge Act, No.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 (hereinafter referred to as the “principal enactment”)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as amended is to revise the service charge applicable on the importation of certain </w:t>
      </w:r>
      <w:r>
        <w:rPr>
          <w:rFonts w:ascii="Times" w:hAnsi="Times" w:eastAsia="Times"/>
          <w:b w:val="0"/>
          <w:i w:val="0"/>
          <w:color w:val="000000"/>
          <w:sz w:val="16"/>
        </w:rPr>
        <w:t>articles or goods.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168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3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9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provisions of the Inland Revenue Act, No. 24 of 2017.</w:t>
      </w:r>
    </w:p>
    <w:p>
      <w:pPr>
        <w:autoSpaceDN w:val="0"/>
        <w:tabs>
          <w:tab w:pos="1586" w:val="left"/>
        </w:tabs>
        <w:autoSpaceDE w:val="0"/>
        <w:widowControl/>
        <w:spacing w:line="245" w:lineRule="auto" w:before="172" w:after="0"/>
        <w:ind w:left="134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11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provisions of the Inland Revenue Act, No. 24 of 2017.</w:t>
      </w:r>
    </w:p>
    <w:p>
      <w:pPr>
        <w:autoSpaceDN w:val="0"/>
        <w:autoSpaceDE w:val="0"/>
        <w:widowControl/>
        <w:spacing w:line="247" w:lineRule="auto" w:before="172" w:after="0"/>
        <w:ind w:left="1346" w:right="143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13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amend the definitions of the terms “distributor” and “Inland </w:t>
      </w:r>
      <w:r>
        <w:rPr>
          <w:rFonts w:ascii="Times" w:hAnsi="Times" w:eastAsia="Times"/>
          <w:b w:val="0"/>
          <w:i w:val="0"/>
          <w:color w:val="000000"/>
          <w:sz w:val="16"/>
        </w:rPr>
        <w:t>Revenue Act”.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 (Amendment)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 16/2019</w:t>
      </w:r>
    </w:p>
    <w:p>
      <w:pPr>
        <w:autoSpaceDN w:val="0"/>
        <w:autoSpaceDE w:val="0"/>
        <w:widowControl/>
        <w:spacing w:line="254" w:lineRule="auto" w:before="294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2006</w:t>
      </w:r>
    </w:p>
    <w:p>
      <w:pPr>
        <w:autoSpaceDN w:val="0"/>
        <w:autoSpaceDE w:val="0"/>
        <w:widowControl/>
        <w:spacing w:line="254" w:lineRule="auto" w:before="294" w:after="23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Economic Service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Charge (Amendment) Act,    No.   of 2019.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sections 3, 4 and 5 shall be deemed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2" w:after="23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have come into operation on April 1, 2018.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Economic Service Charge Act,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13 of</w:t>
            </w:r>
          </w:p>
        </w:tc>
      </w:tr>
      <w:tr>
        <w:trPr>
          <w:trHeight w:hRule="exact" w:val="53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13 of 2006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44"/>
        <w:ind w:left="0" w:right="18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2006.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section—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“of such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partnership”, of the words and figures “of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or partnership, on or prior to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commencement of this Amendment Act”;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4" w:lineRule="auto" w:before="1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“on or after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commencement of this Act”, of the words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“on or after October 4, 2018, but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Amendment Act”;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4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Service Charge  (Amendment)</w:t>
      </w:r>
    </w:p>
    <w:p>
      <w:pPr>
        <w:autoSpaceDN w:val="0"/>
        <w:tabs>
          <w:tab w:pos="2888" w:val="left"/>
          <w:tab w:pos="3382" w:val="left"/>
        </w:tabs>
        <w:autoSpaceDE w:val="0"/>
        <w:widowControl/>
        <w:spacing w:line="254" w:lineRule="auto" w:before="496" w:after="1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the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Act, on the aggregate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Cost, Insurance and Freight (CIF)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Director-General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Customs and the amount of any custom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 duty payable under the Customs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235), special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commodity levy payable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Special Commodity Levy Act, No. 48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2007, excise duty payable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Excise (Special Provisions) Act, No. 13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54" w:lineRule="auto" w:before="10" w:after="1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1989, Cess payable under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Development Act, No. 40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1979 and ports and airports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levy payable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Ports ans Airports Development Levy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18 of 2011, in respect of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consignment of imports of any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good, other than any article or good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prescribed by the Minister,”; and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proviso to that subsection by the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April 1, 2016”,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“but prior to April 1, 2016 and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October 1, 2019”.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proviso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0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 is hereby amended as follows:-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66" w:after="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“turnover of such person; and”,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“turnover of such person;”;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 by the substitution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“Central Bank of Sri Lanka.”,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“Central Bank of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Service Charge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96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addition of the following new paragraph:-</w:t>
      </w:r>
    </w:p>
    <w:p>
      <w:pPr>
        <w:autoSpaceDN w:val="0"/>
        <w:tabs>
          <w:tab w:pos="1478" w:val="left"/>
          <w:tab w:pos="2982" w:val="left"/>
          <w:tab w:pos="3478" w:val="left"/>
        </w:tabs>
        <w:autoSpaceDE w:val="0"/>
        <w:widowControl/>
        <w:spacing w:line="245" w:lineRule="auto" w:before="242" w:after="18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case of a tea factory owner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on the business of tea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manufacturing, the share of 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to the tea smallholders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supplied green tea leaf from the proceed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sale of tea manufactured in the tea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factory shall be deemed not to form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turnover of such tea factory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Subsection (4) of section 9 of the principal enactment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as follows:–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 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by the substitution for the words and figures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“relevant quarter commencing on or after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2014”, of the words “relevant quarter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2014, but prior to April 1, 2018,”;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by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“within which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quarter falls.”, of the words “within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relevant quarter falls;”; and</w:t>
      </w:r>
    </w:p>
    <w:p>
      <w:pPr>
        <w:autoSpaceDN w:val="0"/>
        <w:tabs>
          <w:tab w:pos="2518" w:val="left"/>
          <w:tab w:pos="2530" w:val="left"/>
        </w:tabs>
        <w:autoSpaceDE w:val="0"/>
        <w:widowControl/>
        <w:spacing w:line="245" w:lineRule="auto" w:before="242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subsection, of the following new paragraphs:-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or which has made a return for any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quarter in any year of assessment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before the dates referred to in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section 7, where such relevant quarter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any relevant quarter commencing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April 1, 2018, after the expiry of thirty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thirtieth day of November of the year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immediately succeeding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within which such relevant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quarter falls, subject to subsection (3)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Service Charge  (Amendment)</w:t>
      </w:r>
    </w:p>
    <w:p>
      <w:pPr>
        <w:autoSpaceDN w:val="0"/>
        <w:autoSpaceDE w:val="0"/>
        <w:widowControl/>
        <w:spacing w:line="252" w:lineRule="auto" w:before="486" w:after="20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135 of the Inland Revenue Act, No.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 of 2017, if his or its return of income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under subsection (1) of section 93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Inland Revenue Act, No. 24 of 2017;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or which has failed to make a return 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before such date as referred to in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904" w:right="251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after the expiry of a period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months (subject to subsection (3)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135 of the Inland Revenue Act, No.</w:t>
      </w:r>
    </w:p>
    <w:p>
      <w:pPr>
        <w:autoSpaceDN w:val="0"/>
        <w:tabs>
          <w:tab w:pos="2904" w:val="left"/>
        </w:tabs>
        <w:autoSpaceDE w:val="0"/>
        <w:widowControl/>
        <w:spacing w:line="252" w:lineRule="auto" w:before="18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24 of 2017) from the date on which the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served to the tax payer in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133 or 134 of the Inland Revenue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24 of 2017.”.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 of the principal enactment is hereby further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renumbering that section as subsection (1)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6" w:after="206"/>
        <w:ind w:left="0" w:right="5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renumbered subsection (1) by the substitution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“The provisions of Chapter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XXIII, XXIV, XXV, XXVI, XXVII, XXVIII, XXIX,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4" w:lineRule="auto" w:before="8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XXX and XXXI of the Inland Revenue Act,”,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 (1) The provisions of Chapter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XXIII, XXIV, XXV, XXVI, XXVII, XXVIII, XXIX,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XXX and XXXI of the Inland Revenue Act, No. 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2006, for the relevant quarter or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prior to April 1, 2018,”;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subsection:-</w:t>
      </w:r>
    </w:p>
    <w:p>
      <w:pPr>
        <w:autoSpaceDN w:val="0"/>
        <w:autoSpaceDE w:val="0"/>
        <w:widowControl/>
        <w:spacing w:line="238" w:lineRule="auto" w:before="264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“(2) The provisions of Chapter IX, X, XII,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XIII, XIV, XVI, XVII, XVIII,XIX and XX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Inland Revenue Act, No. 24 of 2017, for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relevant year of assessment commencing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6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 (Amendment)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April 1, 2018, relating respectively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administration provisions, record keeping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information collection, assessments,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objection and appeals, liability for and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of tax, recovery of tax, penalties,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criminal proceedings, regulations and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interpretation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respectively to administration provisions,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 keeping and information collection,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assessment, objection and appeals, liability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and payment of tax, recovery of tax,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penalties, criminal proceedings, regulations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interpretation under this Act.”.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the expression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214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“distributor” and the substitution therefor of 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definition:-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““distributor” in relation to any manufacturer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producer or importer of any goods in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means any person or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289"/>
            <w:vMerge/>
            <w:tcBorders/>
          </w:tcPr>
          <w:p/>
        </w:tc>
        <w:tc>
          <w:tcPr>
            <w:tcW w:type="dxa" w:w="2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partnership,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manufacturer or producer or importer for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in the wholesale market, of such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goods, at such price as may be determined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manufacturer or producer or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importer, from time to time;”; and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definition of the expression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“Inland Revenue Act” and the substitution therefor,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definition:-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8" w:after="140"/>
        <w:ind w:left="3238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““Inland Revenue Act” means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24 of 2017 as the case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or any successor thereto providing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the taxation of income;”.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84"/>
        </w:trPr>
        <w:tc>
          <w:tcPr>
            <w:tcW w:type="dxa" w:w="7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4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 (Amendment)</w:t>
            </w:r>
          </w:p>
        </w:tc>
      </w:tr>
    </w:tbl>
    <w:p>
      <w:pPr>
        <w:autoSpaceDN w:val="0"/>
        <w:autoSpaceDE w:val="0"/>
        <w:widowControl/>
        <w:spacing w:line="235" w:lineRule="auto" w:before="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