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293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November 29, 2019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29.11.2019)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544" w:after="0"/>
        <w:ind w:left="0" w:right="25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APPROPRIATION (AMENDMENT)</w:t>
      </w:r>
    </w:p>
    <w:p>
      <w:pPr>
        <w:autoSpaceDN w:val="0"/>
        <w:autoSpaceDE w:val="0"/>
        <w:widowControl/>
        <w:spacing w:line="238" w:lineRule="auto" w:before="342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3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82" w:after="0"/>
        <w:ind w:left="0" w:right="252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Appropriation Act, No. 6 of 2019</w:t>
      </w:r>
    </w:p>
    <w:p>
      <w:pPr>
        <w:autoSpaceDN w:val="0"/>
        <w:autoSpaceDE w:val="0"/>
        <w:widowControl/>
        <w:spacing w:line="245" w:lineRule="auto" w:before="262" w:after="0"/>
        <w:ind w:left="2304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Finance,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and Policy Development.</w:t>
      </w:r>
    </w:p>
    <w:p>
      <w:pPr>
        <w:autoSpaceDN w:val="0"/>
        <w:autoSpaceDE w:val="0"/>
        <w:widowControl/>
        <w:spacing w:line="245" w:lineRule="auto" w:before="21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2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3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paragraph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subsection (1) of section 2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Appropriation Act, No. 6 of 2019, and the legal effect of section as amended is to increase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borrowing limit of rupees two thousand seventy nine billion to rupees two thousand </w:t>
      </w:r>
      <w:r>
        <w:rPr>
          <w:rFonts w:ascii="Times" w:hAnsi="Times" w:eastAsia="Times"/>
          <w:b w:val="0"/>
          <w:i w:val="0"/>
          <w:color w:val="221F1F"/>
          <w:sz w:val="16"/>
        </w:rPr>
        <w:t>two hundred and seventy nine billion.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066" w:val="left"/>
        </w:tabs>
        <w:autoSpaceDE w:val="0"/>
        <w:widowControl/>
        <w:spacing w:line="382" w:lineRule="auto" w:before="458" w:after="0"/>
        <w:ind w:left="17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58/2019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PPROPRIATION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2019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343" w:lineRule="auto" w:before="278" w:after="0"/>
        <w:ind w:left="179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Appropriation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35" w:lineRule="auto" w:before="20" w:after="21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Appropriation Act, No. 6 of 2019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“rupees two thousand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Appropriation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seventy nine billion” of the words “rupees two thousand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6 of</w:t>
            </w:r>
          </w:p>
        </w:tc>
      </w:tr>
      <w:tr>
        <w:trPr>
          <w:trHeight w:hRule="exact" w:val="1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hundred and seventy nine billion”.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2019.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101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23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5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(Amendment)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