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295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13 , 2019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16.12.2019)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752" w:val="left"/>
          <w:tab w:pos="2646" w:val="left"/>
          <w:tab w:pos="2706" w:val="left"/>
          <w:tab w:pos="2866" w:val="left"/>
          <w:tab w:pos="3502" w:val="left"/>
          <w:tab w:pos="3688" w:val="left"/>
          <w:tab w:pos="4264" w:val="left"/>
          <w:tab w:pos="4466" w:val="left"/>
        </w:tabs>
        <w:autoSpaceDE w:val="0"/>
        <w:widowControl/>
        <w:spacing w:line="367" w:lineRule="auto" w:before="404" w:after="0"/>
        <w:ind w:left="166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DECLARATION OF ASSETS AND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LIABILITIES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(Private Member's Bill)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amend the Declaration of Assets and Liabilities Law, No. 1 of 1975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(Dr.) Wijeyadasa Rajapakshe,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M.P. for Colombo District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3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0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IABILITIES</w:t>
      </w:r>
    </w:p>
    <w:p>
      <w:pPr>
        <w:autoSpaceDN w:val="0"/>
        <w:tabs>
          <w:tab w:pos="2038" w:val="left"/>
          <w:tab w:pos="3432" w:val="left"/>
          <w:tab w:pos="6746" w:val="left"/>
        </w:tabs>
        <w:autoSpaceDE w:val="0"/>
        <w:widowControl/>
        <w:spacing w:line="355" w:lineRule="auto" w:before="20" w:after="206"/>
        <w:ind w:left="1798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Declaration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title. </w:t>
      </w:r>
      <w:r>
        <w:rPr>
          <w:rFonts w:ascii="Times" w:hAnsi="Times" w:eastAsia="Times"/>
          <w:b w:val="0"/>
          <w:i w:val="0"/>
          <w:color w:val="221F1F"/>
          <w:sz w:val="20"/>
        </w:rPr>
        <w:t>Liabilities (Amendment)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Principle Law is hereby amended by</w:t>
            </w:r>
          </w:p>
        </w:tc>
      </w:tr>
    </w:tbl>
    <w:p>
      <w:pPr>
        <w:autoSpaceDN w:val="0"/>
        <w:tabs>
          <w:tab w:pos="1798" w:val="left"/>
          <w:tab w:pos="2038" w:val="left"/>
          <w:tab w:pos="2758" w:val="left"/>
          <w:tab w:pos="2832" w:val="left"/>
          <w:tab w:pos="2846" w:val="left"/>
          <w:tab w:pos="3238" w:val="left"/>
        </w:tabs>
        <w:autoSpaceDE w:val="0"/>
        <w:widowControl/>
        <w:spacing w:line="370" w:lineRule="auto" w:before="2" w:after="204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repealing sub-section 2 (1) of the said Law and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of the following paragraphs:-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“2. (1) The Provisions of this Law shall apply to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belonging to anyone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classes or descriptions of persons:-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 of the Republic;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Speaker of the Parliament;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Ministers of the Cabinet of Ministers,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Ministers and Deputy Ministers;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Parliament;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Judges and public officers appointed by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President; public officers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Cabinet of Ministers;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Constitutional Council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are not Members of Parliament</w:t>
            </w:r>
          </w:p>
        </w:tc>
      </w:tr>
    </w:tbl>
    <w:p>
      <w:pPr>
        <w:autoSpaceDN w:val="0"/>
        <w:tabs>
          <w:tab w:pos="2832" w:val="left"/>
          <w:tab w:pos="3238" w:val="left"/>
        </w:tabs>
        <w:autoSpaceDE w:val="0"/>
        <w:widowControl/>
        <w:spacing w:line="305" w:lineRule="auto" w:before="1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in terms of Article 41A 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Constitution;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Commissions referred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schedule to the Article 41B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 and all members of any 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Declaration of Assets and Liabilities (Amendment)</w:t>
      </w:r>
    </w:p>
    <w:p>
      <w:pPr>
        <w:autoSpaceDN w:val="0"/>
        <w:autoSpaceDE w:val="0"/>
        <w:widowControl/>
        <w:spacing w:line="252" w:lineRule="auto" w:before="498" w:after="208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appointed by the President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Constitutional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Judicial Officers and scheduled public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appointed by the Judicial Service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3142" w:val="left"/>
        </w:tabs>
        <w:autoSpaceDE w:val="0"/>
        <w:widowControl/>
        <w:spacing w:line="252" w:lineRule="auto" w:before="268" w:after="21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Commissioners, Ambassadors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Consuls employed in Sri Lankan missions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overseas;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Provincial Councils;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Local Authorities;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office-bearers of recognized political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2" w:lineRule="auto" w:before="1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for the purpose of elections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Presidential Elections Act, No. 15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1981, the Parliamentary Elections Act, No.</w:t>
      </w:r>
    </w:p>
    <w:p>
      <w:pPr>
        <w:autoSpaceDN w:val="0"/>
        <w:autoSpaceDE w:val="0"/>
        <w:widowControl/>
        <w:spacing w:line="254" w:lineRule="auto" w:before="20" w:after="21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 of 1981, the Provincial Councils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 2 of 1988, and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Elections Ordinance  No. 20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1981;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candidates nominated for the election to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held under the Presidential Elections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4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15 of 1981, the Parliamentary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 1 of 1981,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Councils Elections Act, No. 2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1988, and Local Authorities Elections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No. 20 of 1981;</w:t>
      </w:r>
    </w:p>
    <w:p>
      <w:pPr>
        <w:autoSpaceDN w:val="0"/>
        <w:tabs>
          <w:tab w:pos="3142" w:val="left"/>
        </w:tabs>
        <w:autoSpaceDE w:val="0"/>
        <w:widowControl/>
        <w:spacing w:line="247" w:lineRule="auto" w:before="270" w:after="210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officers in Ministries and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officers employed in Sri Lankan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mission overseas;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Declaration of Assets and Liabilities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238" w:val="left"/>
        </w:tabs>
        <w:autoSpaceDE w:val="0"/>
        <w:widowControl/>
        <w:spacing w:line="247" w:lineRule="auto" w:before="500" w:after="194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chairmen, directors, members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and staff officers of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corporations and boards;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chairmen, directors and staff officers of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in which the State or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corporation or a board holds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less than 25% percent of share capital;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executives of the Trade Unions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under the Trade Unions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proprietors, editors and members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editorial staff of newspapers who ought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make declarations under section 02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Newspapers Ordinance;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categories of other officers as may be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by the regulations.”.</w:t>
      </w:r>
    </w:p>
    <w:p>
      <w:pPr>
        <w:autoSpaceDN w:val="0"/>
        <w:tabs>
          <w:tab w:pos="2038" w:val="left"/>
          <w:tab w:pos="2390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 of the Principal Law is hereby amended by </w:t>
      </w:r>
      <w:r>
        <w:rPr>
          <w:rFonts w:ascii="Times" w:hAnsi="Times" w:eastAsia="Times"/>
          <w:b w:val="0"/>
          <w:i w:val="0"/>
          <w:color w:val="221F1F"/>
          <w:sz w:val="20"/>
        </w:rPr>
        <w:t>repealing it and by the substitution of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“4.</w:t>
            </w:r>
          </w:p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declaration of assets and liabilities shall be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tendered in the following manner:-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Speaker -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 of the Republic;</w:t>
            </w:r>
          </w:p>
        </w:tc>
      </w:tr>
      <w:tr>
        <w:trPr>
          <w:trHeight w:hRule="exact" w:val="3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ii.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Parliament;</w:t>
            </w:r>
          </w:p>
        </w:tc>
      </w:tr>
      <w:tr>
        <w:trPr>
          <w:trHeight w:hRule="exact" w:val="47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President -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(i) of Section 2 (1)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Law;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Declaration of Assets and Liabilities (Amendment)</w:t>
      </w:r>
    </w:p>
    <w:p>
      <w:pPr>
        <w:autoSpaceDN w:val="0"/>
        <w:tabs>
          <w:tab w:pos="2902" w:val="left"/>
        </w:tabs>
        <w:autoSpaceDE w:val="0"/>
        <w:widowControl/>
        <w:spacing w:line="238" w:lineRule="auto" w:before="500" w:after="0"/>
        <w:ind w:left="25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Judicial Service Commission -</w:t>
      </w:r>
    </w:p>
    <w:p>
      <w:pPr>
        <w:autoSpaceDN w:val="0"/>
        <w:tabs>
          <w:tab w:pos="3384" w:val="left"/>
        </w:tabs>
        <w:autoSpaceDE w:val="0"/>
        <w:widowControl/>
        <w:spacing w:line="250" w:lineRule="auto" w:before="276" w:after="216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 (1) of this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Secretary of the relevant Ministry -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(1) of this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2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Election Commission -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referred to in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(1) of this Law.”.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(1) of the Principle Law is hereby amended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94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by deleting the words “not exceeding Thousand Rupees”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the substitution the words “not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>Hundred 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(1) of the Principle Law is hereby amended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by deleting the words “the Minister may make regulation”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the substitution of the words “the President may </w:t>
      </w:r>
      <w:r>
        <w:rPr>
          <w:rFonts w:ascii="Times" w:hAnsi="Times" w:eastAsia="Times"/>
          <w:b w:val="0"/>
          <w:i w:val="0"/>
          <w:color w:val="221F1F"/>
          <w:sz w:val="20"/>
        </w:rPr>
        <w:t>make regulations”.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491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133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