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13,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18.12.2019)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20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235" w:lineRule="auto" w:before="33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3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 Section 627)</w:t>
      </w:r>
    </w:p>
    <w:p>
      <w:pPr>
        <w:autoSpaceDN w:val="0"/>
        <w:autoSpaceDE w:val="0"/>
        <w:widowControl/>
        <w:spacing w:line="245" w:lineRule="auto" w:before="202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(Mrs.) Thusitha Wijemanna,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Kegalle District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ECTION</w:t>
      </w:r>
      <w:r>
        <w:rPr>
          <w:rFonts w:ascii="Times" w:hAnsi="Times" w:eastAsia="Times"/>
          <w:b w:val="0"/>
          <w:i w:val="0"/>
          <w:color w:val="221F1F"/>
          <w:sz w:val="16"/>
        </w:rPr>
        <w:t>627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627 of the Civil Procedure Code is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the words “between persons professing Islam”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627.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replace such words with the words “in terms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Muslim Marriage and Divorce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