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44" w:after="0"/>
        <w:ind w:left="169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ECONOMIC SERVICE CHARGE (AMENDMENT)</w:t>
      </w:r>
    </w:p>
    <w:p>
      <w:pPr>
        <w:autoSpaceDN w:val="0"/>
        <w:autoSpaceDE w:val="0"/>
        <w:widowControl/>
        <w:spacing w:line="238" w:lineRule="auto" w:before="13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38" w:after="0"/>
        <w:ind w:left="195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Economic Service Charge Act, No. 13 of 2006</w:t>
      </w:r>
    </w:p>
    <w:p>
      <w:pPr>
        <w:autoSpaceDN w:val="0"/>
        <w:autoSpaceDE w:val="0"/>
        <w:widowControl/>
        <w:spacing w:line="238" w:lineRule="auto" w:before="21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146" w:after="0"/>
        <w:ind w:left="1296" w:right="129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Prime Minister and Minister of Finance, Economy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and Policy  Development, Minister of  Buddhasasana, Cultural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Religious Affairs  and  Minister of  Urban  Development, Water  Supply 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HousingFacilities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05th of February 2020</w:t>
      </w:r>
    </w:p>
    <w:p>
      <w:pPr>
        <w:autoSpaceDN w:val="0"/>
        <w:autoSpaceDE w:val="0"/>
        <w:widowControl/>
        <w:spacing w:line="238" w:lineRule="auto" w:before="284" w:after="0"/>
        <w:ind w:left="0" w:right="26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January 14, 2020)</w:t>
      </w:r>
    </w:p>
    <w:p>
      <w:pPr>
        <w:autoSpaceDN w:val="0"/>
        <w:autoSpaceDE w:val="0"/>
        <w:widowControl/>
        <w:spacing w:line="238" w:lineRule="auto" w:before="290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5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319]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72"/>
        <w:ind w:left="0" w:right="0"/>
      </w:pPr>
    </w:p>
    <w:p>
      <w:pPr>
        <w:autoSpaceDN w:val="0"/>
        <w:tabs>
          <w:tab w:pos="1676" w:val="left"/>
          <w:tab w:pos="3456" w:val="left"/>
        </w:tabs>
        <w:autoSpaceDE w:val="0"/>
        <w:widowControl/>
        <w:spacing w:line="322" w:lineRule="auto" w:before="0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STATEMENT OF LEGAL EFFECT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 of the Economic Service Charge Act, No. 13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2006 and the legal effect of the section as amended is to remove the Economic Service </w:t>
      </w:r>
      <w:r>
        <w:rPr>
          <w:rFonts w:ascii="Times" w:hAnsi="Times" w:eastAsia="Times"/>
          <w:b w:val="0"/>
          <w:i w:val="0"/>
          <w:color w:val="000000"/>
          <w:sz w:val="16"/>
        </w:rPr>
        <w:t>Charge from January 1, 2020.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Service Charge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5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62/2019</w:t>
      </w:r>
    </w:p>
    <w:p>
      <w:pPr>
        <w:autoSpaceDN w:val="0"/>
        <w:autoSpaceDE w:val="0"/>
        <w:widowControl/>
        <w:spacing w:line="262" w:lineRule="auto" w:before="326" w:after="0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HARGE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.13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2006</w:t>
      </w:r>
    </w:p>
    <w:p>
      <w:pPr>
        <w:autoSpaceDN w:val="0"/>
        <w:autoSpaceDE w:val="0"/>
        <w:widowControl/>
        <w:spacing w:line="262" w:lineRule="auto" w:before="326" w:after="26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Economic Service Charge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6" w:after="24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Economic Service Charge Act, No.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 of 2006 is hereby amended in subsection (1)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</w:t>
            </w:r>
          </w:p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“be charged from every person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13 of</w:t>
            </w:r>
          </w:p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partnership for every quarter of every year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2006.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71" w:lineRule="auto" w:before="26" w:after="20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assessment”, of the words and figures “be charged from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and every partnership for every quarter of every year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assessment prior to January 1, 2020 —”.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  <w:tr>
        <w:trPr>
          <w:trHeight w:hRule="exact" w:val="48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500"/>
        </w:trPr>
        <w:tc>
          <w:tcPr>
            <w:tcW w:type="dxa" w:w="80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4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Service Charge (Amendment)</w:t>
            </w:r>
          </w:p>
        </w:tc>
      </w:tr>
    </w:tbl>
    <w:p>
      <w:pPr>
        <w:autoSpaceDN w:val="0"/>
        <w:autoSpaceDE w:val="0"/>
        <w:widowControl/>
        <w:spacing w:line="238" w:lineRule="auto" w:before="62" w:after="0"/>
        <w:ind w:left="0" w:right="34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