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0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LAND DEVELOPMENT (AMENDMENT)</w:t>
      </w:r>
    </w:p>
    <w:p>
      <w:pPr>
        <w:autoSpaceDN w:val="0"/>
        <w:autoSpaceDE w:val="0"/>
        <w:widowControl/>
        <w:spacing w:line="238" w:lineRule="auto" w:before="31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26" w:after="0"/>
        <w:ind w:left="201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Land Development Ordinance (Chapter 464)</w:t>
      </w:r>
    </w:p>
    <w:p>
      <w:pPr>
        <w:autoSpaceDN w:val="0"/>
        <w:autoSpaceDE w:val="0"/>
        <w:widowControl/>
        <w:spacing w:line="235" w:lineRule="auto" w:before="26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2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Mrs. Thusitha Wijemanne,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Kegalle District   on 05th of February 2020</w:t>
      </w:r>
    </w:p>
    <w:p>
      <w:pPr>
        <w:autoSpaceDN w:val="0"/>
        <w:autoSpaceDE w:val="0"/>
        <w:widowControl/>
        <w:spacing w:line="235" w:lineRule="auto" w:before="254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13, 2020)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4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321]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Land Development 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8" w:after="0"/>
        <w:ind w:left="1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464)</w:t>
      </w:r>
    </w:p>
    <w:p>
      <w:pPr>
        <w:autoSpaceDN w:val="0"/>
        <w:autoSpaceDE w:val="0"/>
        <w:widowControl/>
        <w:spacing w:line="247" w:lineRule="auto" w:before="26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47" w:lineRule="auto" w:before="268" w:after="208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This Act may be cited as the Land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title.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 1(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rule 2 of the Third Schedule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Act should be replaced with the following rules:-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Third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of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“1(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 Title to a holding for the purposes of Section 72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464.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54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devolve on the relatives of the permit holder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 in the order of priority in which they are respectively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in the subjoined table, the older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preferred to the younger if there are more relatives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one in any group:</w:t>
      </w:r>
    </w:p>
    <w:p>
      <w:pPr>
        <w:autoSpaceDN w:val="0"/>
        <w:tabs>
          <w:tab w:pos="2036" w:val="left"/>
          <w:tab w:pos="2216" w:val="left"/>
        </w:tabs>
        <w:autoSpaceDE w:val="0"/>
        <w:widowControl/>
        <w:spacing w:line="254" w:lineRule="auto" w:before="2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in this rule should give priority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older person when a land has been developed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person than the older person.</w:t>
      </w:r>
    </w:p>
    <w:p>
      <w:pPr>
        <w:autoSpaceDN w:val="0"/>
        <w:autoSpaceDE w:val="0"/>
        <w:widowControl/>
        <w:spacing w:line="235" w:lineRule="auto" w:before="258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Table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Children;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6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Grand sons and daughters;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70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Parents;</w:t>
      </w:r>
    </w:p>
    <w:p>
      <w:pPr>
        <w:autoSpaceDN w:val="0"/>
        <w:tabs>
          <w:tab w:pos="2072" w:val="left"/>
        </w:tabs>
        <w:autoSpaceDE w:val="0"/>
        <w:widowControl/>
        <w:spacing w:line="242" w:lineRule="auto" w:before="27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(iv) Brothers and Sisters;</w:t>
      </w:r>
    </w:p>
    <w:p>
      <w:pPr>
        <w:autoSpaceDN w:val="0"/>
        <w:autoSpaceDE w:val="0"/>
        <w:widowControl/>
        <w:spacing w:line="238" w:lineRule="auto" w:before="262" w:after="0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(v) Uncles and Aunts;</w:t>
      </w:r>
    </w:p>
    <w:p>
      <w:pPr>
        <w:autoSpaceDN w:val="0"/>
        <w:autoSpaceDE w:val="0"/>
        <w:widowControl/>
        <w:spacing w:line="235" w:lineRule="auto" w:before="270" w:after="0"/>
        <w:ind w:left="20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(vi) Nephews and Nieces.</w:t>
      </w:r>
    </w:p>
    <w:p>
      <w:pPr>
        <w:autoSpaceDN w:val="0"/>
        <w:autoSpaceDE w:val="0"/>
        <w:widowControl/>
        <w:spacing w:line="247" w:lineRule="auto" w:before="270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rule “relative” means, a relative by blood and not </w:t>
      </w:r>
      <w:r>
        <w:rPr>
          <w:rFonts w:ascii="Times" w:hAnsi="Times" w:eastAsia="Times"/>
          <w:b w:val="0"/>
          <w:i w:val="0"/>
          <w:color w:val="000000"/>
          <w:sz w:val="20"/>
        </w:rPr>
        <w:t>by marriage and “children” includes adopted children too.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Land Development  (Amendment)</w:t>
      </w:r>
    </w:p>
    <w:p>
      <w:pPr>
        <w:autoSpaceDN w:val="0"/>
        <w:tabs>
          <w:tab w:pos="1942" w:val="left"/>
          <w:tab w:pos="2182" w:val="left"/>
        </w:tabs>
        <w:autoSpaceDE w:val="0"/>
        <w:widowControl/>
        <w:spacing w:line="254" w:lineRule="auto" w:before="496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in any group of relatives mentioned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 subjoined to rule 1, there are two or more persons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age or of different ages who are equally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willing to succeed, the Divisional Secretary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 out of these persons who develop the land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succeed to the holding:</w:t>
      </w:r>
    </w:p>
    <w:p>
      <w:pPr>
        <w:autoSpaceDN w:val="0"/>
        <w:autoSpaceDE w:val="0"/>
        <w:widowControl/>
        <w:spacing w:line="250" w:lineRule="auto" w:before="264" w:after="8"/>
        <w:ind w:left="194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when nominating more than one person,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successors should be nominated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any conditions that may have been included in the permit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grant.”.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3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6.0000000000002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455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Land Development  (Amendment)</w:t>
            </w:r>
          </w:p>
        </w:tc>
        <w:tc>
          <w:tcPr>
            <w:tcW w:type="dxa" w:w="169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6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