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02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February 07, 2020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10.02.2020)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02" w:after="0"/>
        <w:ind w:left="0" w:right="23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VALUE ADDED TAX (AMENDMENT)</w:t>
      </w:r>
    </w:p>
    <w:p>
      <w:pPr>
        <w:autoSpaceDN w:val="0"/>
        <w:autoSpaceDE w:val="0"/>
        <w:widowControl/>
        <w:spacing w:line="238" w:lineRule="auto" w:before="20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0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72" w:after="0"/>
        <w:ind w:left="0" w:right="232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Value Added Tax Act, No. 14 of 2002</w:t>
      </w:r>
    </w:p>
    <w:p>
      <w:pPr>
        <w:autoSpaceDN w:val="0"/>
        <w:autoSpaceDE w:val="0"/>
        <w:widowControl/>
        <w:spacing w:line="245" w:lineRule="auto" w:before="252" w:after="0"/>
        <w:ind w:left="1872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Finance, Economic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and Policy  Development</w:t>
      </w:r>
    </w:p>
    <w:p>
      <w:pPr>
        <w:autoSpaceDN w:val="0"/>
        <w:autoSpaceDE w:val="0"/>
        <w:widowControl/>
        <w:spacing w:line="245" w:lineRule="auto" w:before="74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5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3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2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3 of the Value Added Tax Act, No. 14 of 2002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(hereinafter referred to as the “principal enactment”), and the legal effect of that section as </w:t>
      </w:r>
      <w:r>
        <w:rPr>
          <w:rFonts w:ascii="Times" w:hAnsi="Times" w:eastAsia="Times"/>
          <w:b w:val="0"/>
          <w:i w:val="0"/>
          <w:color w:val="000000"/>
          <w:sz w:val="16"/>
        </w:rPr>
        <w:t>amended is to increase the amount for Vat liability on wholesale and retail sale.</w:t>
      </w:r>
    </w:p>
    <w:p>
      <w:pPr>
        <w:autoSpaceDN w:val="0"/>
        <w:autoSpaceDE w:val="0"/>
        <w:widowControl/>
        <w:spacing w:line="257" w:lineRule="auto" w:before="222" w:after="0"/>
        <w:ind w:left="1344" w:right="1434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10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increase the registration threshold for VAT liability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Rs. Seventy five million for a quarter and Rs. Three hundred million 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per annum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16"/>
        </w:rPr>
        <w:t>consequential changes relating thereto.</w:t>
      </w:r>
    </w:p>
    <w:p>
      <w:pPr>
        <w:autoSpaceDN w:val="0"/>
        <w:autoSpaceDE w:val="0"/>
        <w:widowControl/>
        <w:spacing w:line="254" w:lineRule="auto" w:before="22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12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provide for voluntary registration under this Act, for </w:t>
      </w:r>
      <w:r>
        <w:rPr>
          <w:rFonts w:ascii="Times" w:hAnsi="Times" w:eastAsia="Times"/>
          <w:b w:val="0"/>
          <w:i w:val="0"/>
          <w:color w:val="000000"/>
          <w:sz w:val="16"/>
        </w:rPr>
        <w:t>persons as described in that section.</w:t>
      </w:r>
    </w:p>
    <w:p>
      <w:pPr>
        <w:autoSpaceDN w:val="0"/>
        <w:autoSpaceDE w:val="0"/>
        <w:widowControl/>
        <w:spacing w:line="254" w:lineRule="auto" w:before="22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Part II of the First Schedule to the principal enactment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to exempt the VAT imposed on the supply of condominium housing units and </w:t>
      </w:r>
      <w:r>
        <w:rPr>
          <w:rFonts w:ascii="Times" w:hAnsi="Times" w:eastAsia="Times"/>
          <w:b w:val="0"/>
          <w:i w:val="0"/>
          <w:color w:val="000000"/>
          <w:sz w:val="16"/>
        </w:rPr>
        <w:t>information technology and enabled services.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 D.— O. 60/2019</w:t>
      </w:r>
    </w:p>
    <w:p>
      <w:pPr>
        <w:autoSpaceDN w:val="0"/>
        <w:autoSpaceDE w:val="0"/>
        <w:widowControl/>
        <w:spacing w:line="235" w:lineRule="auto" w:before="254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ALUE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DDED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2002</w:t>
      </w:r>
    </w:p>
    <w:p>
      <w:pPr>
        <w:autoSpaceDN w:val="0"/>
        <w:autoSpaceDE w:val="0"/>
        <w:widowControl/>
        <w:spacing w:line="245" w:lineRule="auto" w:before="254" w:after="19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Value Added Tax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4" w:after="19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3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Value Added Tax Act, No. 14 of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of section 3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of Act,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No.14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2002.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2002 (hereinafter referred to as the “principal enactment”)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in paragraph (f) of subsection (1)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sub-paragraph (iv),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6" w:val="left"/>
        </w:tabs>
        <w:autoSpaceDE w:val="0"/>
        <w:widowControl/>
        <w:spacing w:line="247" w:lineRule="auto" w:before="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and figures “on or after November 1, 2016,”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and figures“ on and after November 1,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2016, but ending on or before December 31, 2019;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and”;</w:t>
      </w:r>
    </w:p>
    <w:p>
      <w:pPr>
        <w:autoSpaceDN w:val="0"/>
        <w:tabs>
          <w:tab w:pos="2508" w:val="left"/>
          <w:tab w:pos="2516" w:val="left"/>
        </w:tabs>
        <w:autoSpaceDE w:val="0"/>
        <w:widowControl/>
        <w:spacing w:line="245" w:lineRule="auto" w:before="254" w:after="194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sub-paragraph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(iv) of the following new sub-paragraph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36" w:right="1152" w:hanging="3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“(v) seventy five million, for any such period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three months commencing on and  after January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53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1, 2020,”.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2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 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section 10</w:t>
            </w:r>
          </w:p>
        </w:tc>
      </w:tr>
      <w:tr>
        <w:trPr>
          <w:trHeight w:hRule="exact" w:val="18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9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of that section-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73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(v), for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9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and figures “on or after April 1, 2016,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carries on” of the words and figures “on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after April 1, 2016, but prior to January 1,</w:t>
      </w:r>
    </w:p>
    <w:p>
      <w:pPr>
        <w:autoSpaceDN w:val="0"/>
        <w:tabs>
          <w:tab w:pos="2978" w:val="left"/>
        </w:tabs>
        <w:autoSpaceDE w:val="0"/>
        <w:widowControl/>
        <w:spacing w:line="266" w:lineRule="auto" w:before="1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2020, carries on”;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</w:tr>
      <w:tr>
        <w:trPr>
          <w:trHeight w:hRule="exact" w:val="5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paragraph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1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(v), of the following new paragraph:-</w:t>
      </w:r>
    </w:p>
    <w:p>
      <w:pPr>
        <w:autoSpaceDN w:val="0"/>
        <w:tabs>
          <w:tab w:pos="2862" w:val="left"/>
          <w:tab w:pos="3324" w:val="left"/>
        </w:tabs>
        <w:autoSpaceDE w:val="0"/>
        <w:widowControl/>
        <w:spacing w:line="259" w:lineRule="auto" w:before="282" w:after="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“(vi) on and after January 1, 2020, carries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carries out any taxable activity in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shall be registered under this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if —</w:t>
      </w:r>
    </w:p>
    <w:p>
      <w:pPr>
        <w:autoSpaceDN w:val="0"/>
        <w:tabs>
          <w:tab w:pos="3304" w:val="left"/>
          <w:tab w:pos="3682" w:val="left"/>
        </w:tabs>
        <w:autoSpaceDE w:val="0"/>
        <w:widowControl/>
        <w:spacing w:line="262" w:lineRule="auto" w:before="280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at the end of any taxable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month or three months,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may be, the total value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supplies of goods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or goods and services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person, made in Sri Lanka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taxable period of one month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months, as the case may be,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has seventy five million rupees; or</w:t>
      </w:r>
    </w:p>
    <w:p>
      <w:pPr>
        <w:autoSpaceDN w:val="0"/>
        <w:tabs>
          <w:tab w:pos="3304" w:val="left"/>
          <w:tab w:pos="3682" w:val="left"/>
        </w:tabs>
        <w:autoSpaceDE w:val="0"/>
        <w:widowControl/>
        <w:spacing w:line="262" w:lineRule="auto" w:before="276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twelve months period then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ending, the total value of the taxable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supplies of goods or services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and services of such person,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in Sri Lanka has exceeded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three hundred million rupees; or</w:t>
      </w:r>
    </w:p>
    <w:p>
      <w:pPr>
        <w:autoSpaceDN w:val="0"/>
        <w:tabs>
          <w:tab w:pos="3682" w:val="left"/>
        </w:tabs>
        <w:autoSpaceDE w:val="0"/>
        <w:widowControl/>
        <w:spacing w:line="257" w:lineRule="auto" w:before="278" w:after="14"/>
        <w:ind w:left="33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any time, there are reasonable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grounds to believe that the total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value of the taxable supplies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10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goods or services or goods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of such person in Sri Lanka,</w:t>
            </w:r>
          </w:p>
        </w:tc>
      </w:tr>
    </w:tbl>
    <w:p>
      <w:pPr>
        <w:autoSpaceDN w:val="0"/>
        <w:autoSpaceDE w:val="0"/>
        <w:widowControl/>
        <w:spacing w:line="257" w:lineRule="auto" w:before="12" w:after="14"/>
        <w:ind w:left="36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succeeding one month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taxable period,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case may be, is likely to exceed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0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10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seventy five million rupees or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succeeding twelve months period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36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is likely to exceed three hundred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million rupees.”;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9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8" w:lineRule="auto" w:before="52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subsection (2) of that section-</w:t>
      </w:r>
    </w:p>
    <w:p>
      <w:pPr>
        <w:autoSpaceDN w:val="0"/>
        <w:tabs>
          <w:tab w:pos="2194" w:val="left"/>
          <w:tab w:pos="2518" w:val="left"/>
        </w:tabs>
        <w:autoSpaceDE w:val="0"/>
        <w:widowControl/>
        <w:spacing w:line="283" w:lineRule="auto" w:before="344" w:after="0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 in sub-paragraph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and figures “on or before November 1, 2016;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and” of the words and figures “on or before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November 1, 2016;”;</w:t>
      </w:r>
    </w:p>
    <w:p>
      <w:pPr>
        <w:autoSpaceDN w:val="0"/>
        <w:tabs>
          <w:tab w:pos="2194" w:val="left"/>
          <w:tab w:pos="2518" w:val="left"/>
        </w:tabs>
        <w:autoSpaceDE w:val="0"/>
        <w:widowControl/>
        <w:spacing w:line="290" w:lineRule="auto" w:before="34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 in sub-paragraph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and figures “on or after November 1, 2016,”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and figures “on and after November 1,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2016 but ending on or before December 31, 2019;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and”;</w:t>
      </w:r>
    </w:p>
    <w:p>
      <w:pPr>
        <w:autoSpaceDN w:val="0"/>
        <w:autoSpaceDE w:val="0"/>
        <w:widowControl/>
        <w:spacing w:line="278" w:lineRule="auto" w:before="328" w:after="284"/>
        <w:ind w:left="2518" w:right="2422" w:hanging="31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insertion immediately after sub-paragraph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that section of the following new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sub-paragraph:—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6" w:after="0"/>
              <w:ind w:left="0" w:right="5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Seventy five million, for any such period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three months commencing on and after</w:t>
            </w:r>
          </w:p>
        </w:tc>
      </w:tr>
    </w:tbl>
    <w:p>
      <w:pPr>
        <w:autoSpaceDN w:val="0"/>
        <w:autoSpaceDE w:val="0"/>
        <w:widowControl/>
        <w:spacing w:line="238" w:lineRule="auto" w:before="22" w:after="30"/>
        <w:ind w:left="0" w:right="4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January 1, 2020.”.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12 of the principal enactment is hereby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6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Replacement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of section 12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substituted 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“Voluntary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12. Notwithstanding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registration.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3 and 10, any person who supplies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878" w:val="left"/>
        </w:tabs>
        <w:autoSpaceDE w:val="0"/>
        <w:widowControl/>
        <w:spacing w:line="288" w:lineRule="auto" w:before="3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or services and carries on a taxable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activity or who imports any taxable goods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an application in the specified form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Commissioner-General, for registration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Act,-</w:t>
      </w:r>
    </w:p>
    <w:p>
      <w:pPr>
        <w:autoSpaceDN w:val="0"/>
        <w:tabs>
          <w:tab w:pos="3298" w:val="left"/>
        </w:tabs>
        <w:autoSpaceDE w:val="0"/>
        <w:widowControl/>
        <w:spacing w:line="266" w:lineRule="auto" w:before="334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any taxable period prior to January 1,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2013: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3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  <w:tr>
        <w:trPr>
          <w:trHeight w:hRule="exact" w:val="516"/>
        </w:trPr>
        <w:tc>
          <w:tcPr>
            <w:tcW w:type="dxa" w:w="2255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however, 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384" w:val="left"/>
          <w:tab w:pos="3382" w:val="left"/>
        </w:tabs>
        <w:autoSpaceDE w:val="0"/>
        <w:widowControl/>
        <w:spacing w:line="269" w:lineRule="auto" w:before="1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may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affording the applicant an opportunity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being heard, and having regard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nature of the business carried on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applicant, the value of the taxable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supplies  made by such applicant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preceding taxable periods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probability that the value of his taxable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supplies will not exceed the value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section 10, refuse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 such applicant; and</w:t>
      </w:r>
    </w:p>
    <w:p>
      <w:pPr>
        <w:autoSpaceDN w:val="0"/>
        <w:tabs>
          <w:tab w:pos="3262" w:val="left"/>
        </w:tabs>
        <w:autoSpaceDE w:val="0"/>
        <w:widowControl/>
        <w:spacing w:line="254" w:lineRule="auto" w:before="292" w:after="232"/>
        <w:ind w:left="29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any taxable period commencing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after January 1, 2020.”.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First Shedule to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PART II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Shedule to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59" w:lineRule="auto" w:before="28" w:after="18"/>
        <w:ind w:left="2302" w:right="2516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(1) by the substitution in sub-item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item (xi) of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words and figures “on or after </w:t>
      </w:r>
      <w:r>
        <w:rPr>
          <w:rFonts w:ascii="Times" w:hAnsi="Times" w:eastAsia="Times"/>
          <w:b w:val="0"/>
          <w:i w:val="0"/>
          <w:color w:val="221F1F"/>
          <w:sz w:val="20"/>
        </w:rPr>
        <w:t>April 1, 2019, other than any lease” of the words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3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figures “on and after April 1, 2019 but ending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December 1, 2019, other than any lease”;</w:t>
            </w:r>
          </w:p>
        </w:tc>
      </w:tr>
    </w:tbl>
    <w:p>
      <w:pPr>
        <w:autoSpaceDN w:val="0"/>
        <w:tabs>
          <w:tab w:pos="2302" w:val="left"/>
        </w:tabs>
        <w:autoSpaceDE w:val="0"/>
        <w:widowControl/>
        <w:spacing w:line="254" w:lineRule="auto" w:before="234" w:after="0"/>
        <w:ind w:left="19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by the insertion immediately after sub-item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new sub-item:-</w:t>
      </w:r>
    </w:p>
    <w:p>
      <w:pPr>
        <w:autoSpaceDN w:val="0"/>
        <w:tabs>
          <w:tab w:pos="2542" w:val="left"/>
          <w:tab w:pos="2962" w:val="left"/>
        </w:tabs>
        <w:autoSpaceDE w:val="0"/>
        <w:widowControl/>
        <w:spacing w:line="259" w:lineRule="auto" w:before="29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commencing with December 1, 2019, by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other than any lease or rent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residential accommodation.”;</w:t>
      </w:r>
    </w:p>
    <w:p>
      <w:pPr>
        <w:autoSpaceDN w:val="0"/>
        <w:autoSpaceDE w:val="0"/>
        <w:widowControl/>
        <w:spacing w:line="259" w:lineRule="auto" w:before="294" w:after="0"/>
        <w:ind w:left="2302" w:right="2516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renumbering of item (Li) and (Lii) (as inserted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Value Added Tax (Amendment) Act, No. 25 of </w:t>
      </w:r>
      <w:r>
        <w:rPr>
          <w:rFonts w:ascii="Times" w:hAnsi="Times" w:eastAsia="Times"/>
          <w:b w:val="0"/>
          <w:i w:val="0"/>
          <w:color w:val="221F1F"/>
          <w:sz w:val="20"/>
        </w:rPr>
        <w:t>2018) as (Lii) and (Liii) respectively;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9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398" w:val="left"/>
        </w:tabs>
        <w:autoSpaceDE w:val="0"/>
        <w:widowControl/>
        <w:spacing w:line="247" w:lineRule="auto" w:before="498" w:after="0"/>
        <w:ind w:left="20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by the insertion immediately after the renumbered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item (Liii) of the following:—</w:t>
      </w:r>
    </w:p>
    <w:p>
      <w:pPr>
        <w:autoSpaceDN w:val="0"/>
        <w:tabs>
          <w:tab w:pos="3238" w:val="left"/>
        </w:tabs>
        <w:autoSpaceDE w:val="0"/>
        <w:widowControl/>
        <w:spacing w:line="247" w:lineRule="auto" w:before="270" w:after="4"/>
        <w:ind w:left="26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“(Liv)  commencing with January 1, 2020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 technology and, enabled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8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as may be prescribed;”.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32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6"/>
        <w:ind w:left="0" w:right="0"/>
      </w:pPr>
    </w:p>
    <w:p>
      <w:pPr>
        <w:autoSpaceDN w:val="0"/>
        <w:autoSpaceDE w:val="0"/>
        <w:widowControl/>
        <w:spacing w:line="1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8700"/>
        </w:trPr>
        <w:tc>
          <w:tcPr>
            <w:tcW w:type="dxa" w:w="98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26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