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413" w:lineRule="auto" w:before="366" w:after="0"/>
        <w:ind w:left="3024" w:right="288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September 04, 2020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04.09.2020  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5" w:lineRule="auto" w:before="500" w:after="0"/>
        <w:ind w:left="2160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NATION BUILDING TAX  (AMENDMENT)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tabs>
          <w:tab w:pos="1658" w:val="left"/>
          <w:tab w:pos="2376" w:val="left"/>
          <w:tab w:pos="2708" w:val="left"/>
          <w:tab w:pos="3314" w:val="left"/>
        </w:tabs>
        <w:autoSpaceDE w:val="0"/>
        <w:widowControl/>
        <w:spacing w:line="331" w:lineRule="auto" w:before="330" w:after="0"/>
        <w:ind w:left="1620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amend the Nation Building Tax Act, No. 9 of 2009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Prime Minister and Minister of Finance,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Minister of Buddhasasana, Religious &amp; Cultural Affairs and Minister of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Urban Development &amp; Housing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4" w:val="left"/>
        </w:tabs>
        <w:autoSpaceDE w:val="0"/>
        <w:widowControl/>
        <w:spacing w:line="238" w:lineRule="auto" w:before="14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3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6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33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172" w:after="0"/>
        <w:ind w:left="1346" w:right="143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 of the Nation Building Tax Act, No. 9 of 2009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the legal effect of the section as amended is to limit the period of application of the </w:t>
      </w:r>
      <w:r>
        <w:rPr>
          <w:rFonts w:ascii="Times" w:hAnsi="Times" w:eastAsia="Times"/>
          <w:b w:val="0"/>
          <w:i w:val="0"/>
          <w:color w:val="000000"/>
          <w:sz w:val="16"/>
        </w:rPr>
        <w:t>Nation Building Tax under the said Act to the period prior to December 1, 2019.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 Building Tax 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584" w:val="left"/>
        </w:tabs>
        <w:autoSpaceDE w:val="0"/>
        <w:widowControl/>
        <w:spacing w:line="391" w:lineRule="auto" w:before="446" w:after="0"/>
        <w:ind w:left="179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L.D.—O. 59/2019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AX</w:t>
      </w:r>
    </w:p>
    <w:p>
      <w:pPr>
        <w:autoSpaceDN w:val="0"/>
        <w:autoSpaceDE w:val="0"/>
        <w:widowControl/>
        <w:spacing w:line="350" w:lineRule="auto" w:before="32" w:after="234"/>
        <w:ind w:left="1798" w:right="2304" w:firstLine="164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Nation Building Tax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Nation Building Tax Act, No. 9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2009  as last amended by Act, No. 20 of 2019,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amended in subsection (1)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9 of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words, “be charged from every person”, of the words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2009.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figures “be charged prior to December 1, 2019, from every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4510"/>
        <w:gridCol w:w="4510"/>
      </w:tblGrid>
      <w:tr>
        <w:trPr>
          <w:trHeight w:hRule="exact" w:val="9384"/>
        </w:trPr>
        <w:tc>
          <w:tcPr>
            <w:tcW w:type="dxa" w:w="8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 Building Tax  (Amendment)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