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294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September 04, 2020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04.09.2020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6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PORTS AND AIRPORTS DEVELOPMENT LEVY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334" w:lineRule="exact" w:before="228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276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Ports and Airports Development  Levy </w:t>
      </w:r>
      <w:r>
        <w:rPr>
          <w:rFonts w:ascii="Times,Bold" w:hAnsi="Times,Bold" w:eastAsia="Times,Bold"/>
          <w:b/>
          <w:i w:val="0"/>
          <w:color w:val="000000"/>
          <w:sz w:val="20"/>
        </w:rPr>
        <w:t>Act, No. 18 of 2011</w:t>
      </w:r>
    </w:p>
    <w:p>
      <w:pPr>
        <w:autoSpaceDN w:val="0"/>
        <w:autoSpaceDE w:val="0"/>
        <w:widowControl/>
        <w:spacing w:line="247" w:lineRule="auto" w:before="356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Prime Minister and Minister of Finance,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Buddhasasana, Religious &amp; Cultural Affairs and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</w:t>
      </w:r>
    </w:p>
    <w:p>
      <w:pPr>
        <w:autoSpaceDN w:val="0"/>
        <w:autoSpaceDE w:val="0"/>
        <w:widowControl/>
        <w:spacing w:line="245" w:lineRule="auto" w:before="288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14" w:after="0"/>
        <w:ind w:left="1346" w:right="143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Ports and Airports Development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18 of 2011 and the legal effect of the section as amended is to increase the levy charged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levied in respect of the cost, insurance and freight value of any article referred to in section 2 </w:t>
      </w:r>
      <w:r>
        <w:rPr>
          <w:rFonts w:ascii="Times" w:hAnsi="Times" w:eastAsia="Times"/>
          <w:b w:val="0"/>
          <w:i w:val="0"/>
          <w:color w:val="221F1F"/>
          <w:sz w:val="16"/>
        </w:rPr>
        <w:t>of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61/2019</w:t>
      </w:r>
    </w:p>
    <w:p>
      <w:pPr>
        <w:autoSpaceDN w:val="0"/>
        <w:autoSpaceDE w:val="0"/>
        <w:widowControl/>
        <w:spacing w:line="254" w:lineRule="auto" w:before="294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IRPORTS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Ports and Airports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 Levy (Amendment) Act, No.    of 2020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come into operation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December 6,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Ports and Airports Development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18 of 2011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 of 2011.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autoSpaceDE w:val="0"/>
        <w:widowControl/>
        <w:spacing w:line="259" w:lineRule="auto" w:before="290" w:after="0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levy to be charged and levied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cost, insurance and freight value of any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2 shall be calculated –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5.0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2011 and 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31, 2015;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7.5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2016 and 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5, 2019; and</w:t>
      </w:r>
    </w:p>
    <w:p>
      <w:pPr>
        <w:autoSpaceDN w:val="0"/>
        <w:tabs>
          <w:tab w:pos="3118" w:val="left"/>
        </w:tabs>
        <w:autoSpaceDE w:val="0"/>
        <w:widowControl/>
        <w:spacing w:line="257" w:lineRule="auto" w:before="290" w:after="230"/>
        <w:ind w:left="27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10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6, 2019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Director-General of Customs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charges or collects the Levy as provided in subsection (1)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57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Ports and Airports Development Levy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1418" w:val="left"/>
          <w:tab w:pos="170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3 of the principal enactment as amended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Act, during the period commencing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6, 2019 and ending on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shall be deemed to have acted and to be acting with 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such charge or collection shall be deemed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purposes to have been, and to be, validly made.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 of Customs is hereby indemnified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action, civil or criminal, in respect of such charge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collection:</w:t>
      </w:r>
    </w:p>
    <w:p>
      <w:pPr>
        <w:autoSpaceDN w:val="0"/>
        <w:autoSpaceDE w:val="0"/>
        <w:widowControl/>
        <w:spacing w:line="247" w:lineRule="auto" w:before="254" w:after="8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aforesaid provisions shall not affect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or order made by any Court or any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in any Court in respect of any Levy collected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868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