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28" w:after="0"/>
        <w:ind w:left="16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8"/>
        </w:rPr>
        <w:t>NATION BUILDING TAX (AMENDMENT)</w:t>
      </w:r>
    </w:p>
    <w:p>
      <w:pPr>
        <w:autoSpaceDN w:val="0"/>
        <w:autoSpaceDE w:val="0"/>
        <w:widowControl/>
        <w:spacing w:line="238" w:lineRule="auto" w:before="33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0" w:after="0"/>
        <w:ind w:left="22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Nation Building Tax Act, No. 9 of 2009</w:t>
      </w:r>
    </w:p>
    <w:p>
      <w:pPr>
        <w:autoSpaceDN w:val="0"/>
        <w:autoSpaceDE w:val="0"/>
        <w:widowControl/>
        <w:spacing w:line="235" w:lineRule="auto" w:before="24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4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Urban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&amp; Housing on 22nd of September, 2020</w:t>
      </w:r>
    </w:p>
    <w:p>
      <w:pPr>
        <w:autoSpaceDN w:val="0"/>
        <w:autoSpaceDE w:val="0"/>
        <w:widowControl/>
        <w:spacing w:line="238" w:lineRule="auto" w:before="252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 04,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8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1]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90"/>
        <w:ind w:left="0" w:right="0"/>
      </w:pPr>
    </w:p>
    <w:p>
      <w:pPr>
        <w:autoSpaceDN w:val="0"/>
        <w:tabs>
          <w:tab w:pos="1676" w:val="left"/>
          <w:tab w:pos="3336" w:val="left"/>
        </w:tabs>
        <w:autoSpaceDE w:val="0"/>
        <w:widowControl/>
        <w:spacing w:line="247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 of the Nation Building Tax Act, No. 9 of 2009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the section as amended is to limit the period of application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>Nation Building Tax under the said Act to the period prior to December 1,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584" w:val="left"/>
        </w:tabs>
        <w:autoSpaceDE w:val="0"/>
        <w:widowControl/>
        <w:spacing w:line="391" w:lineRule="auto" w:before="446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59/2019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</w:p>
    <w:p>
      <w:pPr>
        <w:autoSpaceDN w:val="0"/>
        <w:autoSpaceDE w:val="0"/>
        <w:widowControl/>
        <w:spacing w:line="350" w:lineRule="auto" w:before="32" w:after="234"/>
        <w:ind w:left="1798" w:right="2304" w:firstLine="164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 Building Tax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 Building Tax Act, No. 9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  as last amended by Act, No. 20 of 2019,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in subsection (1)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9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“be charged from every person”, of the words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2009.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figures “be charged prior to December 1, 2019, from every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8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