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THE GAZETTE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306" w:after="0"/>
        <w:ind w:left="0" w:right="31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Part II of October 02, 2020</w:t>
      </w:r>
    </w:p>
    <w:p>
      <w:pPr>
        <w:autoSpaceDN w:val="0"/>
        <w:autoSpaceDE w:val="0"/>
        <w:widowControl/>
        <w:spacing w:line="238" w:lineRule="auto" w:before="324" w:after="0"/>
        <w:ind w:left="0" w:right="36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290" w:after="0"/>
        <w:ind w:left="0" w:right="3368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4"/>
        </w:rPr>
        <w:t>(Issued on 07.10.2020)</w:t>
      </w:r>
    </w:p>
    <w:p>
      <w:pPr>
        <w:autoSpaceDN w:val="0"/>
        <w:autoSpaceDE w:val="0"/>
        <w:widowControl/>
        <w:spacing w:line="240" w:lineRule="auto" w:before="32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62" w:after="0"/>
        <w:ind w:left="2304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4"/>
        </w:rPr>
        <w:t xml:space="preserve">MINIMUM WAGES (INDIAN LABOUR)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16" w:after="0"/>
        <w:ind w:left="0" w:right="438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6" w:after="0"/>
        <w:ind w:left="0" w:right="417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252" w:after="0"/>
        <w:ind w:left="0" w:right="2444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to amend the Minimum Wages (Indian Labour)</w:t>
      </w:r>
    </w:p>
    <w:p>
      <w:pPr>
        <w:autoSpaceDN w:val="0"/>
        <w:autoSpaceDE w:val="0"/>
        <w:widowControl/>
        <w:spacing w:line="238" w:lineRule="auto" w:before="42" w:after="0"/>
        <w:ind w:left="0" w:right="3400" w:firstLine="0"/>
        <w:jc w:val="right"/>
      </w:pPr>
      <w:r>
        <w:rPr>
          <w:rFonts w:ascii="Times,Bold" w:hAnsi="Times,Bold" w:eastAsia="Times,Bold"/>
          <w:b/>
          <w:i w:val="0"/>
          <w:color w:val="000000"/>
          <w:sz w:val="20"/>
        </w:rPr>
        <w:t>Ordinance (Chapter 135)</w:t>
      </w:r>
    </w:p>
    <w:p>
      <w:pPr>
        <w:autoSpaceDN w:val="0"/>
        <w:autoSpaceDE w:val="0"/>
        <w:widowControl/>
        <w:spacing w:line="235" w:lineRule="auto" w:before="246" w:after="0"/>
        <w:ind w:left="0" w:right="238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to be published by the Minister of Labour</w:t>
      </w:r>
    </w:p>
    <w:p>
      <w:pPr>
        <w:autoSpaceDN w:val="0"/>
        <w:tabs>
          <w:tab w:pos="2472" w:val="left"/>
          <w:tab w:pos="2698" w:val="left"/>
          <w:tab w:pos="6102" w:val="left"/>
        </w:tabs>
        <w:autoSpaceDE w:val="0"/>
        <w:widowControl/>
        <w:spacing w:line="254" w:lineRule="auto" w:before="588" w:after="0"/>
        <w:ind w:left="1438" w:right="1296" w:firstLine="0"/>
        <w:jc w:val="left"/>
      </w:pP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tab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 xml:space="preserve">5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6.00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152" w:after="0"/>
        <w:ind w:left="1432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30"/>
        <w:ind w:left="0" w:right="0"/>
      </w:pPr>
    </w:p>
    <w:p>
      <w:pPr>
        <w:autoSpaceDN w:val="0"/>
        <w:autoSpaceDE w:val="0"/>
        <w:widowControl/>
        <w:spacing w:line="235" w:lineRule="auto" w:before="0" w:after="0"/>
        <w:ind w:left="0" w:right="3214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57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2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4 of the Minimum Wages (Indian Labour)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Ordinance (Chapter 135) (hereinafter referred to as the “principal enactment”) and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legal effect of the section as amended is to increase the employable age of children on </w:t>
      </w:r>
      <w:r>
        <w:rPr>
          <w:rFonts w:ascii="Times" w:hAnsi="Times" w:eastAsia="Times"/>
          <w:b w:val="0"/>
          <w:i w:val="0"/>
          <w:color w:val="000000"/>
          <w:sz w:val="16"/>
        </w:rPr>
        <w:t>estates.</w:t>
      </w:r>
    </w:p>
    <w:p>
      <w:pPr>
        <w:autoSpaceDN w:val="0"/>
        <w:autoSpaceDE w:val="0"/>
        <w:widowControl/>
        <w:spacing w:line="254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3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11 of the principal enactment and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section as amended is to extend the liability of any employer in respect of issuing </w:t>
      </w:r>
      <w:r>
        <w:rPr>
          <w:rFonts w:ascii="Times" w:hAnsi="Times" w:eastAsia="Times"/>
          <w:b w:val="0"/>
          <w:i w:val="0"/>
          <w:color w:val="000000"/>
          <w:sz w:val="16"/>
        </w:rPr>
        <w:t>monthly allowance of rice.</w:t>
      </w:r>
    </w:p>
    <w:p>
      <w:pPr>
        <w:autoSpaceDN w:val="0"/>
        <w:autoSpaceDE w:val="0"/>
        <w:widowControl/>
        <w:spacing w:line="254" w:lineRule="auto" w:before="222" w:after="0"/>
        <w:ind w:left="1344" w:right="143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 xml:space="preserve">Clause  4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18 of the principal enactment and legal effect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section as amended is to increase the age limit of female labourers in respect of </w:t>
      </w:r>
      <w:r>
        <w:rPr>
          <w:rFonts w:ascii="Times" w:hAnsi="Times" w:eastAsia="Times"/>
          <w:b w:val="0"/>
          <w:i w:val="0"/>
          <w:color w:val="000000"/>
          <w:sz w:val="16"/>
        </w:rPr>
        <w:t>payment of minimum rates of wages.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4510"/>
        <w:gridCol w:w="4510"/>
      </w:tblGrid>
      <w:tr>
        <w:trPr>
          <w:trHeight w:hRule="exact" w:val="286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5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Wages (Indian Labour) (Amendment)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34/2018</w:t>
      </w:r>
    </w:p>
    <w:p>
      <w:pPr>
        <w:autoSpaceDN w:val="0"/>
        <w:autoSpaceDE w:val="0"/>
        <w:widowControl/>
        <w:spacing w:line="245" w:lineRule="auto" w:before="254" w:after="0"/>
        <w:ind w:left="2016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INIMUM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W</w:t>
      </w:r>
      <w:r>
        <w:rPr>
          <w:rFonts w:ascii="Times" w:hAnsi="Times" w:eastAsia="Times"/>
          <w:b w:val="0"/>
          <w:i w:val="0"/>
          <w:color w:val="221F1F"/>
          <w:sz w:val="14"/>
        </w:rPr>
        <w:t>AGES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(I</w:t>
      </w:r>
      <w:r>
        <w:rPr>
          <w:rFonts w:ascii="Times" w:hAnsi="Times" w:eastAsia="Times"/>
          <w:b w:val="0"/>
          <w:i w:val="0"/>
          <w:color w:val="221F1F"/>
          <w:sz w:val="14"/>
        </w:rPr>
        <w:t>NDIAN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ABOUR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135)</w:t>
      </w:r>
    </w:p>
    <w:p>
      <w:pPr>
        <w:autoSpaceDN w:val="0"/>
        <w:autoSpaceDE w:val="0"/>
        <w:widowControl/>
        <w:spacing w:line="245" w:lineRule="auto" w:before="254" w:after="194"/>
        <w:ind w:left="179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follows:—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This Act may be cited as the Minimum Wages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title.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179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(Indian Labour)  (Amendment) Act, No.     of 2020.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5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4 of the Minimum Wages (Indian Labour)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92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3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Ordinance (Chapter 135) (hereinafter referred to as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4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Chapter</w:t>
            </w:r>
          </w:p>
        </w:tc>
      </w:tr>
      <w:tr>
        <w:trPr>
          <w:trHeight w:hRule="exact" w:val="13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“principal enactment”) is hereby amended by the substitution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135.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for the words “fourteen years,” of the words “sixteen years,”.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55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14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11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3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follows:—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11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of subsection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25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thereof, for the words “fourteen years” of the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68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words “sixteen years”;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substitution in subsection (2) thereof, for the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37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“fourteen years” of the words “sixteen years”.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44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168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18 of the principal enactment is hereby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6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0" w:after="0"/>
              <w:ind w:left="0" w:right="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in the definition of the expression “minimum rates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18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2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wages” by the substitution for the words “fifteen years” of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1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76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words “sixteen years”.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enactment.</w:t>
            </w:r>
          </w:p>
        </w:tc>
      </w:tr>
      <w:tr>
        <w:trPr>
          <w:trHeight w:hRule="exact" w:val="328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17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16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74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500"/>
        </w:trPr>
        <w:tc>
          <w:tcPr>
            <w:tcW w:type="dxa" w:w="66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558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98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Minimum Wages (Indian Labour) (Amendment)</w:t>
            </w:r>
          </w:p>
        </w:tc>
      </w:tr>
    </w:tbl>
    <w:p>
      <w:pPr>
        <w:autoSpaceDN w:val="0"/>
        <w:autoSpaceDE w:val="0"/>
        <w:widowControl/>
        <w:spacing w:line="238" w:lineRule="auto" w:before="62" w:after="0"/>
        <w:ind w:left="0" w:right="348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