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07.10.2020)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7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SHOP AND OFFICE EMPLOYEES (REGULATION OF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AND REMUNERATION)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1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92" w:after="0"/>
        <w:ind w:left="0" w:right="273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Shop and Office Employees</w:t>
      </w:r>
    </w:p>
    <w:p>
      <w:pPr>
        <w:autoSpaceDN w:val="0"/>
        <w:autoSpaceDE w:val="0"/>
        <w:widowControl/>
        <w:spacing w:line="238" w:lineRule="auto" w:before="42" w:after="0"/>
        <w:ind w:left="0" w:right="226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(Regulation of Employment and Remuneration) Act</w:t>
      </w:r>
    </w:p>
    <w:p>
      <w:pPr>
        <w:autoSpaceDN w:val="0"/>
        <w:autoSpaceDE w:val="0"/>
        <w:widowControl/>
        <w:spacing w:line="238" w:lineRule="auto" w:before="38" w:after="0"/>
        <w:ind w:left="0" w:right="384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(Chapter 129)</w:t>
      </w:r>
    </w:p>
    <w:p>
      <w:pPr>
        <w:autoSpaceDN w:val="0"/>
        <w:autoSpaceDE w:val="0"/>
        <w:widowControl/>
        <w:spacing w:line="238" w:lineRule="auto" w:before="238" w:after="0"/>
        <w:ind w:left="0" w:right="238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20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10 of the Shop and Office Employees (Regulation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Employment and Remuneration) Act (Chapter 129) and the legal effect of the section </w:t>
      </w:r>
      <w:r>
        <w:rPr>
          <w:rFonts w:ascii="Times" w:hAnsi="Times" w:eastAsia="Times"/>
          <w:b w:val="0"/>
          <w:i w:val="0"/>
          <w:color w:val="000000"/>
          <w:sz w:val="16"/>
        </w:rPr>
        <w:t>as amended is to increase the employable age from fourteen years to sixteen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Employment and Remuneration) (Amendment)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32/2018</w:t>
      </w:r>
    </w:p>
    <w:p>
      <w:pPr>
        <w:autoSpaceDN w:val="0"/>
        <w:autoSpaceDE w:val="0"/>
        <w:widowControl/>
        <w:spacing w:line="235" w:lineRule="auto" w:before="326" w:after="0"/>
        <w:ind w:left="18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>EGULATION</w:t>
      </w:r>
    </w:p>
    <w:p>
      <w:pPr>
        <w:autoSpaceDN w:val="0"/>
        <w:autoSpaceDE w:val="0"/>
        <w:widowControl/>
        <w:spacing w:line="235" w:lineRule="auto" w:before="5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50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Shop and Office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Employees (Regulation of Employment and Remuneration)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2020.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Shop and Office Employees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(Regulation of Employment and Remuneration) Act (Chapter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129) is hereby amended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129.</w:t>
            </w:r>
          </w:p>
        </w:tc>
      </w:tr>
    </w:tbl>
    <w:p>
      <w:pPr>
        <w:autoSpaceDN w:val="0"/>
        <w:autoSpaceDE w:val="0"/>
        <w:widowControl/>
        <w:spacing w:line="235" w:lineRule="auto" w:before="6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“fourteen years” of the words “sixteen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2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Employment and Remuneration) (Amendment)</w:t>
      </w:r>
    </w:p>
    <w:p>
      <w:pPr>
        <w:autoSpaceDN w:val="0"/>
        <w:autoSpaceDE w:val="0"/>
        <w:widowControl/>
        <w:spacing w:line="238" w:lineRule="auto" w:before="9096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