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6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32" w:after="0"/>
        <w:ind w:left="0" w:right="290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FACTORIES (AMENDMENT)</w:t>
      </w:r>
    </w:p>
    <w:p>
      <w:pPr>
        <w:autoSpaceDN w:val="0"/>
        <w:autoSpaceDE w:val="0"/>
        <w:widowControl/>
        <w:spacing w:line="238" w:lineRule="auto" w:before="450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456" w:after="0"/>
        <w:ind w:left="0" w:right="249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Factories Ordinance (Chapter 128)</w:t>
      </w:r>
    </w:p>
    <w:p>
      <w:pPr>
        <w:autoSpaceDN w:val="0"/>
        <w:autoSpaceDE w:val="0"/>
        <w:widowControl/>
        <w:spacing w:line="238" w:lineRule="auto" w:before="31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06" w:after="0"/>
        <w:ind w:left="19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Minister of Labour on 22nd of October, 2020</w:t>
      </w:r>
    </w:p>
    <w:p>
      <w:pPr>
        <w:autoSpaceDN w:val="0"/>
        <w:autoSpaceDE w:val="0"/>
        <w:widowControl/>
        <w:spacing w:line="238" w:lineRule="auto" w:before="252" w:after="0"/>
        <w:ind w:left="0" w:right="26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October  08, 2020)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22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86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11]</w:t>
      </w:r>
    </w:p>
    <w:p>
      <w:pPr>
        <w:autoSpaceDN w:val="0"/>
        <w:autoSpaceDE w:val="0"/>
        <w:widowControl/>
        <w:spacing w:line="245" w:lineRule="auto" w:before="12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8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12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7" w:lineRule="auto" w:before="220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repeals paragraph 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of section 67 of the Factories Ordinance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(Chapter 128) (hereinafter referred to as the “principal enactment”) and the legal effect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section as amended is to broaden the choice of hours which a young person can work </w:t>
      </w:r>
      <w:r>
        <w:rPr>
          <w:rFonts w:ascii="Times" w:hAnsi="Times" w:eastAsia="Times"/>
          <w:b w:val="0"/>
          <w:i w:val="0"/>
          <w:color w:val="000000"/>
          <w:sz w:val="16"/>
        </w:rPr>
        <w:t>within a day.</w:t>
      </w:r>
    </w:p>
    <w:p>
      <w:pPr>
        <w:autoSpaceDN w:val="0"/>
        <w:tabs>
          <w:tab w:pos="1670" w:val="left"/>
        </w:tabs>
        <w:autoSpaceDE w:val="0"/>
        <w:widowControl/>
        <w:spacing w:line="250" w:lineRule="auto" w:before="220" w:after="0"/>
        <w:ind w:left="143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3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subsection (1) of section 68 of the principal enactment </w:t>
      </w:r>
      <w:r>
        <w:rPr>
          <w:rFonts w:ascii="Times" w:hAnsi="Times" w:eastAsia="Times"/>
          <w:b w:val="0"/>
          <w:i w:val="0"/>
          <w:color w:val="000000"/>
          <w:sz w:val="16"/>
        </w:rPr>
        <w:t>and legal effect of that section is to avoid repetition of the age of young persons.</w:t>
      </w:r>
    </w:p>
    <w:p>
      <w:pPr>
        <w:autoSpaceDN w:val="0"/>
        <w:tabs>
          <w:tab w:pos="1670" w:val="left"/>
        </w:tabs>
        <w:autoSpaceDE w:val="0"/>
        <w:widowControl/>
        <w:spacing w:line="250" w:lineRule="auto" w:before="220" w:after="0"/>
        <w:ind w:left="143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subsection (1) of section 71 of the principal enactment </w:t>
      </w:r>
      <w:r>
        <w:rPr>
          <w:rFonts w:ascii="Times" w:hAnsi="Times" w:eastAsia="Times"/>
          <w:b w:val="0"/>
          <w:i w:val="0"/>
          <w:color w:val="000000"/>
          <w:sz w:val="16"/>
        </w:rPr>
        <w:t>and is consequential to the amendment made by clause 3.</w:t>
      </w:r>
    </w:p>
    <w:p>
      <w:pPr>
        <w:autoSpaceDN w:val="0"/>
        <w:autoSpaceDE w:val="0"/>
        <w:widowControl/>
        <w:spacing w:line="235" w:lineRule="auto" w:before="222" w:after="0"/>
        <w:ind w:left="167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5 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repeals section 77 of the principal enactment.</w:t>
      </w:r>
    </w:p>
    <w:p>
      <w:pPr>
        <w:autoSpaceDN w:val="0"/>
        <w:tabs>
          <w:tab w:pos="1670" w:val="left"/>
        </w:tabs>
        <w:autoSpaceDE w:val="0"/>
        <w:widowControl/>
        <w:spacing w:line="250" w:lineRule="auto" w:before="220" w:after="0"/>
        <w:ind w:left="143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6 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amends paragraph 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of section 86 of the principal enactment </w:t>
      </w:r>
      <w:r>
        <w:rPr>
          <w:rFonts w:ascii="Times" w:hAnsi="Times" w:eastAsia="Times"/>
          <w:b w:val="0"/>
          <w:i w:val="0"/>
          <w:color w:val="000000"/>
          <w:sz w:val="16"/>
        </w:rPr>
        <w:t>and is consequential to the amendment made by clause 3.</w:t>
      </w:r>
    </w:p>
    <w:p>
      <w:pPr>
        <w:autoSpaceDN w:val="0"/>
        <w:autoSpaceDE w:val="0"/>
        <w:widowControl/>
        <w:spacing w:line="254" w:lineRule="auto" w:before="222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7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subsection (1) of section 127 of the principal enactment </w:t>
      </w:r>
      <w:r>
        <w:rPr>
          <w:rFonts w:ascii="Times" w:hAnsi="Times" w:eastAsia="Times"/>
          <w:b w:val="0"/>
          <w:i w:val="0"/>
          <w:color w:val="000000"/>
          <w:sz w:val="16"/>
        </w:rPr>
        <w:t>and the legal effect of that section as amended is to amend the definition of the expression</w:t>
      </w:r>
      <w:r>
        <w:rPr>
          <w:rFonts w:ascii="Times" w:hAnsi="Times" w:eastAsia="Times"/>
          <w:b w:val="0"/>
          <w:i w:val="0"/>
          <w:color w:val="000000"/>
          <w:sz w:val="16"/>
        </w:rPr>
        <w:t>“young person” to change the age to be within the ages of sixteen to eighteen years.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Factories (Amendment)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35/2018</w:t>
      </w:r>
    </w:p>
    <w:p>
      <w:pPr>
        <w:autoSpaceDN w:val="0"/>
        <w:autoSpaceDE w:val="0"/>
        <w:widowControl/>
        <w:spacing w:line="238" w:lineRule="auto" w:before="294" w:after="0"/>
        <w:ind w:left="20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ACTORIES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128)</w:t>
      </w:r>
    </w:p>
    <w:p>
      <w:pPr>
        <w:autoSpaceDN w:val="0"/>
        <w:autoSpaceDE w:val="0"/>
        <w:widowControl/>
        <w:spacing w:line="254" w:lineRule="auto" w:before="292" w:after="232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Factories  (Amendment)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14" w:after="23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Act, No.  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67 of the Factories Ordinance (Chapter 128)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67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Chapter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and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128.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therefor of the following paragraph:-</w:t>
      </w:r>
    </w:p>
    <w:p>
      <w:pPr>
        <w:autoSpaceDN w:val="0"/>
        <w:autoSpaceDE w:val="0"/>
        <w:widowControl/>
        <w:spacing w:line="235" w:lineRule="auto" w:before="292" w:after="0"/>
        <w:ind w:left="22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in the case of young persons the period of</w:t>
      </w:r>
    </w:p>
    <w:p>
      <w:pPr>
        <w:autoSpaceDN w:val="0"/>
        <w:tabs>
          <w:tab w:pos="2636" w:val="left"/>
        </w:tabs>
        <w:autoSpaceDE w:val="0"/>
        <w:widowControl/>
        <w:spacing w:line="262" w:lineRule="auto" w:before="34" w:after="234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shall not exceed twelve hours 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and shall neither begin earlier than 6 a.m. nor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 later than 8 p.m., and on one day in the week,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period of employment shall end by 1 p.m.;”.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68(1)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68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words “who have attained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57" w:lineRule="auto" w:before="16" w:after="23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sixteen years of age but have not attained eighteen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years of age”.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proviso to that subsection by the repeal of the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“who has attained the age of sixteen years</w:t>
            </w:r>
          </w:p>
        </w:tc>
      </w:tr>
    </w:tbl>
    <w:p>
      <w:pPr>
        <w:autoSpaceDN w:val="0"/>
        <w:autoSpaceDE w:val="0"/>
        <w:widowControl/>
        <w:spacing w:line="235" w:lineRule="auto" w:before="12" w:after="226"/>
        <w:ind w:left="0" w:right="29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but not attained the age of eighteen years,”.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71(1) of the principal enactment is hereby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71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2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the proviso to that section by the repeal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“who has attained the age of  sixteen”.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5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Factories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77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4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77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100"/>
        <w:ind w:left="0" w:right="16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86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 by the repeal of the words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86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“and as if the references to young persons included references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all persons who had not  attained the age of  eighteen”.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127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 by the repeal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127 of the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definition of the expression “young person”, and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therefor, of the following definition:-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45" w:lineRule="auto" w:before="166" w:after="194"/>
        <w:ind w:left="2682" w:right="2516" w:hanging="21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“young person” means a person who has attained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age of sixteen years but is under the age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eighteen years;”.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2"/>
        <w:ind w:left="0" w:right="0"/>
      </w:pPr>
    </w:p>
    <w:p>
      <w:pPr>
        <w:autoSpaceDN w:val="0"/>
        <w:autoSpaceDE w:val="0"/>
        <w:widowControl/>
        <w:spacing w:line="1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8.0" w:type="dxa"/>
      </w:tblPr>
      <w:tblGrid>
        <w:gridCol w:w="4510"/>
        <w:gridCol w:w="4510"/>
      </w:tblGrid>
      <w:tr>
        <w:trPr>
          <w:trHeight w:hRule="exact" w:val="9560"/>
        </w:trPr>
        <w:tc>
          <w:tcPr>
            <w:tcW w:type="dxa" w:w="439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Factories (Amendment)</w:t>
            </w:r>
          </w:p>
        </w:tc>
        <w:tc>
          <w:tcPr>
            <w:tcW w:type="dxa" w:w="185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6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