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MINIMUM WAGES (INDIAN LABOUR)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2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2" w:after="0"/>
        <w:ind w:left="0" w:right="254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Minimum Wages (Indian Labour)</w:t>
      </w:r>
    </w:p>
    <w:p>
      <w:pPr>
        <w:autoSpaceDN w:val="0"/>
        <w:autoSpaceDE w:val="0"/>
        <w:widowControl/>
        <w:spacing w:line="235" w:lineRule="auto" w:before="42" w:after="0"/>
        <w:ind w:left="0" w:right="349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Ordinance (Chapter 135)</w:t>
      </w:r>
    </w:p>
    <w:p>
      <w:pPr>
        <w:autoSpaceDN w:val="0"/>
        <w:autoSpaceDE w:val="0"/>
        <w:widowControl/>
        <w:spacing w:line="238" w:lineRule="auto" w:before="16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2" w:after="0"/>
        <w:ind w:left="19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Labour on 22nd of October, 2020</w:t>
      </w:r>
    </w:p>
    <w:p>
      <w:pPr>
        <w:autoSpaceDN w:val="0"/>
        <w:autoSpaceDE w:val="0"/>
        <w:widowControl/>
        <w:spacing w:line="235" w:lineRule="auto" w:before="254" w:after="0"/>
        <w:ind w:left="0" w:right="2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 07, 2020)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68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10]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4"/>
        <w:ind w:left="0" w:right="0"/>
      </w:pPr>
    </w:p>
    <w:p>
      <w:pPr>
        <w:autoSpaceDN w:val="0"/>
        <w:tabs>
          <w:tab w:pos="1670" w:val="left"/>
          <w:tab w:pos="3448" w:val="left"/>
        </w:tabs>
        <w:autoSpaceDE w:val="0"/>
        <w:widowControl/>
        <w:spacing w:line="310" w:lineRule="auto" w:before="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 of the Minimum Wages (Indian Labour)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135) (hereinafter referred to as the “principal enactment”)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section as amended is to increase the employable age of children on </w:t>
      </w:r>
      <w:r>
        <w:rPr>
          <w:rFonts w:ascii="Times" w:hAnsi="Times" w:eastAsia="Times"/>
          <w:b w:val="0"/>
          <w:i w:val="0"/>
          <w:color w:val="000000"/>
          <w:sz w:val="16"/>
        </w:rPr>
        <w:t>estates.</w:t>
      </w:r>
    </w:p>
    <w:p>
      <w:pPr>
        <w:autoSpaceDN w:val="0"/>
        <w:autoSpaceDE w:val="0"/>
        <w:widowControl/>
        <w:spacing w:line="254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11 of the principal enactment and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extend the liability of any employer in respect of issuing </w:t>
      </w:r>
      <w:r>
        <w:rPr>
          <w:rFonts w:ascii="Times" w:hAnsi="Times" w:eastAsia="Times"/>
          <w:b w:val="0"/>
          <w:i w:val="0"/>
          <w:color w:val="000000"/>
          <w:sz w:val="16"/>
        </w:rPr>
        <w:t>monthly allowance of rice.</w:t>
      </w:r>
    </w:p>
    <w:p>
      <w:pPr>
        <w:autoSpaceDN w:val="0"/>
        <w:autoSpaceDE w:val="0"/>
        <w:widowControl/>
        <w:spacing w:line="254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18 of the principal enactment and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increase the age limit of female labourers in respect of </w:t>
      </w:r>
      <w:r>
        <w:rPr>
          <w:rFonts w:ascii="Times" w:hAnsi="Times" w:eastAsia="Times"/>
          <w:b w:val="0"/>
          <w:i w:val="0"/>
          <w:color w:val="000000"/>
          <w:sz w:val="16"/>
        </w:rPr>
        <w:t>payment of minimum rates of wages.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Wages (Indian Labour) (Amendment)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34/2018</w:t>
      </w:r>
    </w:p>
    <w:p>
      <w:pPr>
        <w:autoSpaceDN w:val="0"/>
        <w:autoSpaceDE w:val="0"/>
        <w:widowControl/>
        <w:spacing w:line="245" w:lineRule="auto" w:before="25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INIMUM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AGES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NDIAN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ABOUR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135)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Minimum Wages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(Indian Labour)  (Amendment)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Minimum Wages (Indian Labour)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135) (hereinafter referred to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is hereby amended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“fourteen years,” of the words “sixteen years,”.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for the words “fourteen years”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“sixteen years”;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subsection (2) thereof,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“fourteen years” of the words “sixteen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definition of the expression “minimum rates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wages” by the substitution for the words “fifteen years”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“sixteen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6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Wages (Indian Labour)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