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310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October 29, 2020</w:t>
      </w:r>
    </w:p>
    <w:p>
      <w:pPr>
        <w:autoSpaceDN w:val="0"/>
        <w:autoSpaceDE w:val="0"/>
        <w:widowControl/>
        <w:spacing w:line="238" w:lineRule="auto" w:before="32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0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03.11.2020)</w:t>
      </w:r>
    </w:p>
    <w:p>
      <w:pPr>
        <w:autoSpaceDN w:val="0"/>
        <w:autoSpaceDE w:val="0"/>
        <w:widowControl/>
        <w:spacing w:line="240" w:lineRule="auto" w:before="32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502" w:after="0"/>
        <w:ind w:left="0" w:right="3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BAIL (AMENDMENT)</w:t>
      </w:r>
    </w:p>
    <w:p>
      <w:pPr>
        <w:autoSpaceDN w:val="0"/>
        <w:autoSpaceDE w:val="0"/>
        <w:widowControl/>
        <w:spacing w:line="238" w:lineRule="auto" w:before="382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408" w:after="0"/>
        <w:ind w:left="0" w:right="2888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Bail Act, No. 30 of 1997</w:t>
      </w:r>
    </w:p>
    <w:p>
      <w:pPr>
        <w:autoSpaceDN w:val="0"/>
        <w:autoSpaceDE w:val="0"/>
        <w:widowControl/>
        <w:spacing w:line="235" w:lineRule="auto" w:before="316" w:after="0"/>
        <w:ind w:left="0" w:right="240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Justice</w:t>
      </w:r>
    </w:p>
    <w:p>
      <w:pPr>
        <w:autoSpaceDN w:val="0"/>
        <w:tabs>
          <w:tab w:pos="2472" w:val="left"/>
          <w:tab w:pos="2698" w:val="left"/>
          <w:tab w:pos="6102" w:val="left"/>
        </w:tabs>
        <w:autoSpaceDE w:val="0"/>
        <w:widowControl/>
        <w:spacing w:line="254" w:lineRule="auto" w:before="528" w:after="0"/>
        <w:ind w:left="1438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15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5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14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54" w:lineRule="auto" w:before="222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sections 6, 12 and 18 of the Bail Act, No. 30 of 1997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legal effect of the sections as amended is to increase the fines imposed in respect of the </w:t>
      </w:r>
      <w:r>
        <w:rPr>
          <w:rFonts w:ascii="Times" w:hAnsi="Times" w:eastAsia="Times"/>
          <w:b w:val="0"/>
          <w:i w:val="0"/>
          <w:color w:val="000000"/>
          <w:sz w:val="16"/>
        </w:rPr>
        <w:t>offences specified in that sections.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2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Bail  (Amendment)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4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49/2019</w:t>
      </w:r>
    </w:p>
    <w:p>
      <w:pPr>
        <w:autoSpaceDN w:val="0"/>
        <w:autoSpaceDE w:val="0"/>
        <w:widowControl/>
        <w:spacing w:line="238" w:lineRule="auto" w:before="294" w:after="0"/>
        <w:ind w:left="0" w:right="30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AIL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30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1997</w:t>
      </w:r>
    </w:p>
    <w:p>
      <w:pPr>
        <w:autoSpaceDN w:val="0"/>
        <w:autoSpaceDE w:val="0"/>
        <w:widowControl/>
        <w:spacing w:line="254" w:lineRule="auto" w:before="292" w:after="23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Bail (Amendment) Act,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3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No.     of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sections of the Bail Act, No. 30 of 1997 specified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Column I of the Schedule hereto, are hereby amended 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certain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sections of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substitution for the words specified in the corresponding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Act,</w:t>
            </w:r>
          </w:p>
        </w:tc>
      </w:tr>
      <w:tr>
        <w:trPr>
          <w:trHeight w:hRule="exact" w:val="20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entry in Column II, of the words specified in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30 of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1997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corresponding entry in Column III of that Schedule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specified in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 of increase of fines imposed in respect of the offences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Schedule.</w:t>
            </w:r>
          </w:p>
        </w:tc>
      </w:tr>
    </w:tbl>
    <w:p>
      <w:pPr>
        <w:autoSpaceDN w:val="0"/>
        <w:autoSpaceDE w:val="0"/>
        <w:widowControl/>
        <w:spacing w:line="238" w:lineRule="auto" w:before="8" w:after="23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specified in such sections.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  <w:tr>
        <w:trPr>
          <w:trHeight w:hRule="exact" w:val="56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38" w:after="0"/>
        <w:ind w:left="0" w:right="453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CHEDULE</w:t>
      </w:r>
    </w:p>
    <w:p>
      <w:pPr>
        <w:autoSpaceDN w:val="0"/>
        <w:autoSpaceDE w:val="0"/>
        <w:widowControl/>
        <w:spacing w:line="235" w:lineRule="auto" w:before="12" w:after="11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(Section 2)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2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9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Column I</w:t>
            </w:r>
          </w:p>
        </w:tc>
        <w:tc>
          <w:tcPr>
            <w:tcW w:type="dxa" w:w="19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Column II</w:t>
            </w:r>
          </w:p>
        </w:tc>
        <w:tc>
          <w:tcPr>
            <w:tcW w:type="dxa" w:w="19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Column III</w:t>
            </w:r>
          </w:p>
        </w:tc>
      </w:tr>
      <w:tr>
        <w:trPr>
          <w:trHeight w:hRule="exact" w:val="600"/>
        </w:trPr>
        <w:tc>
          <w:tcPr>
            <w:tcW w:type="dxa" w:w="9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Sections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Amended</w:t>
            </w:r>
          </w:p>
        </w:tc>
        <w:tc>
          <w:tcPr>
            <w:tcW w:type="dxa" w:w="19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Repeal</w:t>
            </w:r>
          </w:p>
        </w:tc>
        <w:tc>
          <w:tcPr>
            <w:tcW w:type="dxa" w:w="19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Insert</w:t>
            </w:r>
          </w:p>
        </w:tc>
      </w:tr>
      <w:tr>
        <w:trPr>
          <w:trHeight w:hRule="exact" w:val="384"/>
        </w:trPr>
        <w:tc>
          <w:tcPr>
            <w:tcW w:type="dxa" w:w="9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6(2)</w:t>
            </w:r>
          </w:p>
        </w:tc>
        <w:tc>
          <w:tcPr>
            <w:tcW w:type="dxa" w:w="19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thousand rupees</w:t>
            </w:r>
          </w:p>
        </w:tc>
        <w:tc>
          <w:tcPr>
            <w:tcW w:type="dxa" w:w="19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fifteen thousand rupees</w:t>
            </w:r>
          </w:p>
        </w:tc>
      </w:tr>
      <w:tr>
        <w:trPr>
          <w:trHeight w:hRule="exact" w:val="384"/>
        </w:trPr>
        <w:tc>
          <w:tcPr>
            <w:tcW w:type="dxa" w:w="9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12(2)</w:t>
            </w:r>
          </w:p>
        </w:tc>
        <w:tc>
          <w:tcPr>
            <w:tcW w:type="dxa" w:w="19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thousand rupees</w:t>
            </w:r>
          </w:p>
        </w:tc>
        <w:tc>
          <w:tcPr>
            <w:tcW w:type="dxa" w:w="19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ten thousand rupees</w:t>
            </w:r>
          </w:p>
        </w:tc>
      </w:tr>
      <w:tr>
        <w:trPr>
          <w:trHeight w:hRule="exact" w:val="580"/>
        </w:trPr>
        <w:tc>
          <w:tcPr>
            <w:tcW w:type="dxa" w:w="9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18(5)</w:t>
            </w:r>
          </w:p>
        </w:tc>
        <w:tc>
          <w:tcPr>
            <w:tcW w:type="dxa" w:w="19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56" w:after="0"/>
              <w:ind w:left="11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thousand five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hundred rupees</w:t>
            </w:r>
          </w:p>
        </w:tc>
        <w:tc>
          <w:tcPr>
            <w:tcW w:type="dxa" w:w="19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56" w:after="0"/>
              <w:ind w:left="120" w:right="288" w:hanging="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five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0"/>
        <w:gridCol w:w="4510"/>
      </w:tblGrid>
      <w:tr>
        <w:trPr>
          <w:trHeight w:hRule="exact" w:val="9284"/>
        </w:trPr>
        <w:tc>
          <w:tcPr>
            <w:tcW w:type="dxa" w:w="124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01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Bail (Amendment)</w:t>
            </w:r>
          </w:p>
        </w:tc>
      </w:tr>
    </w:tbl>
    <w:p>
      <w:pPr>
        <w:autoSpaceDN w:val="0"/>
        <w:autoSpaceDE w:val="0"/>
        <w:widowControl/>
        <w:spacing w:line="238" w:lineRule="auto" w:before="66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