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6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20" w:after="0"/>
        <w:ind w:left="0" w:right="2636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PENAL  CODE  (AMENDMENT)</w:t>
      </w:r>
    </w:p>
    <w:p>
      <w:pPr>
        <w:autoSpaceDN w:val="0"/>
        <w:autoSpaceDE w:val="0"/>
        <w:widowControl/>
        <w:spacing w:line="332" w:lineRule="exact" w:before="306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244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0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Penal Code (Chapter 19)</w:t>
      </w:r>
    </w:p>
    <w:p>
      <w:pPr>
        <w:autoSpaceDN w:val="0"/>
        <w:autoSpaceDE w:val="0"/>
        <w:widowControl/>
        <w:spacing w:line="238" w:lineRule="auto" w:before="29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8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Minister of Justice on 13th of November, 2020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September  02, 2019)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6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332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12]</w:t>
      </w:r>
    </w:p>
    <w:p>
      <w:pPr>
        <w:autoSpaceDN w:val="0"/>
        <w:autoSpaceDE w:val="0"/>
        <w:widowControl/>
        <w:spacing w:line="245" w:lineRule="auto" w:before="128" w:after="56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56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6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17.00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0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15.00</w:t>
            </w:r>
          </w:p>
        </w:tc>
      </w:tr>
      <w:tr>
        <w:trPr>
          <w:trHeight w:hRule="exact" w:val="900"/>
        </w:trPr>
        <w:tc>
          <w:tcPr>
            <w:tcW w:type="dxa" w:w="3033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2" w:after="0"/>
              <w:ind w:left="6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7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dp</w:t>
      </w:r>
    </w:p>
    <w:p>
      <w:pPr>
        <w:sectPr>
          <w:pgSz w:w="11900" w:h="16840"/>
          <w:pgMar w:top="1440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32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250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92" w:lineRule="exact" w:before="192" w:after="0"/>
        <w:ind w:left="1436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Clauses 2 to 30: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These clauses make provisions to amend the Penal Code (Chapter 19)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by replacing outdated words and expressions appearing in that Code with the words and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expressions which reflect the contemporary position.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43/2016</w:t>
      </w:r>
    </w:p>
    <w:p>
      <w:pPr>
        <w:autoSpaceDN w:val="0"/>
        <w:autoSpaceDE w:val="0"/>
        <w:widowControl/>
        <w:spacing w:line="238" w:lineRule="auto" w:before="276" w:after="0"/>
        <w:ind w:left="0" w:right="29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 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19 )</w:t>
      </w:r>
    </w:p>
    <w:p>
      <w:pPr>
        <w:autoSpaceDN w:val="0"/>
        <w:autoSpaceDE w:val="0"/>
        <w:widowControl/>
        <w:spacing w:line="250" w:lineRule="auto" w:before="276" w:after="21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Penal Code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title.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 “Ceylon”, wherever it appears in the Penal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Code (Chapter 19) (hereinafter referred to as the “principal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word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“Sri Lanka”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other than in sections 3, 18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120, 138, 158,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the word</w:t>
            </w:r>
          </w:p>
        </w:tc>
      </w:tr>
      <w:tr>
        <w:trPr>
          <w:trHeight w:hRule="exact" w:val="22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159, 160, 225 and 256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thereof, shall be substituted with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“Ceylon” in</w:t>
            </w:r>
          </w:p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 “Sri Lanka”.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19.</w:t>
            </w:r>
          </w:p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 “Queen”, wherever it appears in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principal enactment, other than in sections 19, 115 and 120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word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“Republic”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shall be substituted with the word “Republic”.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the word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1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“Queen” in</w:t>
      </w:r>
    </w:p>
    <w:p>
      <w:pPr>
        <w:autoSpaceDN w:val="0"/>
        <w:autoSpaceDE w:val="0"/>
        <w:widowControl/>
        <w:spacing w:line="245" w:lineRule="auto" w:before="36" w:after="46"/>
        <w:ind w:left="670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the 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12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12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107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Republic.</w:t>
            </w:r>
          </w:p>
        </w:tc>
        <w:tc>
          <w:tcPr>
            <w:tcW w:type="dxa" w:w="38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12. The word “Republic” denotes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6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13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of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13 of</w:t>
            </w:r>
          </w:p>
        </w:tc>
      </w:tr>
      <w:tr>
        <w:trPr>
          <w:trHeight w:hRule="exact" w:val="169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231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14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4"/>
        </w:trPr>
        <w:tc>
          <w:tcPr>
            <w:tcW w:type="dxa" w:w="1804"/>
            <w:vMerge/>
            <w:tcBorders/>
          </w:tcPr>
          <w:p/>
        </w:tc>
        <w:tc>
          <w:tcPr>
            <w:tcW w:type="dxa" w:w="1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Government.</w:t>
            </w:r>
          </w:p>
        </w:tc>
        <w:tc>
          <w:tcPr>
            <w:tcW w:type="dxa" w:w="3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14. The word “Government”, where no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meaning is indicated by any descriptive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qualifying words or by the context, and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Penal Code (Amendment)</w:t>
      </w:r>
    </w:p>
    <w:p>
      <w:pPr>
        <w:autoSpaceDN w:val="0"/>
        <w:autoSpaceDE w:val="0"/>
        <w:widowControl/>
        <w:spacing w:line="245" w:lineRule="auto" w:before="484" w:after="2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expression “the Sri Lanka Government” or “the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of Sri Lanka” shall mean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constituted by the Constitution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Democratic Socialist Republic of Sri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Lanka, 1978.”.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330"/>
        </w:trPr>
        <w:tc>
          <w:tcPr>
            <w:tcW w:type="dxa" w:w="180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14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therefor:—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15</w:t>
            </w:r>
          </w:p>
        </w:tc>
      </w:tr>
      <w:tr>
        <w:trPr>
          <w:trHeight w:hRule="exact" w:val="177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73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““This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Island”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“Sri Lanka.”</w:t>
            </w:r>
          </w:p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102" w:right="0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15. The words “this Island” and “Sri Lanka”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denote respectively, the Island of Sri Lanka.”.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42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therefor:—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16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President.</w:t>
            </w:r>
          </w:p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16. The word “President” shall mean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President of the Democratic Socialist Republic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782" w:val="left"/>
        </w:tabs>
        <w:autoSpaceDE w:val="0"/>
        <w:widowControl/>
        <w:spacing w:line="245" w:lineRule="auto" w:before="2" w:after="17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 and shall include any person duly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designated to exercise, perform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discharge the powers, duties and functions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his office.”.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22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17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5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ommision of illustration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17</w:t>
            </w:r>
          </w:p>
        </w:tc>
      </w:tr>
      <w:tr>
        <w:trPr>
          <w:trHeight w:hRule="exact" w:val="162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78"/>
        </w:trPr>
        <w:tc>
          <w:tcPr>
            <w:tcW w:type="dxa" w:w="1503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4" w:after="0"/>
              <w:ind w:left="0" w:right="1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509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509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1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all the words from “any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7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10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 or any statute” to the end of that section, of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words, “any enactment of the legislature of Sri Lanka 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2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Ceylon (Parliamentary Elections) Order in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Council, 1946 or any rules or regulations made thereunder.”.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1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1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19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19</w:t>
            </w:r>
          </w:p>
        </w:tc>
      </w:tr>
      <w:tr>
        <w:trPr>
          <w:trHeight w:hRule="exact" w:val="167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1"/>
        </w:trPr>
        <w:tc>
          <w:tcPr>
            <w:tcW w:type="dxa" w:w="1503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substitution for all the words from “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Firstly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” 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5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509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4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“air forces of the Queen.”, of the words:—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503"/>
            <w:vMerge/>
            <w:tcBorders/>
          </w:tcPr>
          <w:p/>
        </w:tc>
        <w:tc>
          <w:tcPr>
            <w:tcW w:type="dxa" w:w="1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Firstly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-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person holding any office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 Lanka by virtue of any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1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Penal Code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69" w:lineRule="auto" w:before="512" w:after="248"/>
        <w:ind w:left="393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warrant or other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appointment, granted or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President or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President’s 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Secondly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-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member of the Sri Lanka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48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Administrative Service.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Thirdly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-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conmissioned officer in the</w:t>
            </w:r>
          </w:p>
        </w:tc>
      </w:tr>
    </w:tbl>
    <w:p>
      <w:pPr>
        <w:autoSpaceDN w:val="0"/>
        <w:autoSpaceDE w:val="0"/>
        <w:widowControl/>
        <w:spacing w:line="257" w:lineRule="auto" w:before="22" w:after="248"/>
        <w:ind w:left="39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naval, military or air forces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substitution in the illustration thereof, for the</w:t>
            </w:r>
          </w:p>
        </w:tc>
      </w:tr>
    </w:tbl>
    <w:p>
      <w:pPr>
        <w:autoSpaceDN w:val="0"/>
        <w:autoSpaceDE w:val="0"/>
        <w:widowControl/>
        <w:spacing w:line="259" w:lineRule="auto" w:before="18" w:after="24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 police Vidahn”, of the words “A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Gramaseva Niladari”.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25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 “wife”, wherever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25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 appears in that section, of the word “spouse”.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53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 “Governor-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53</w:t>
            </w:r>
          </w:p>
        </w:tc>
      </w:tr>
      <w:tr>
        <w:trPr>
          <w:trHeight w:hRule="exact" w:val="13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4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General’s”, of the word “President’s”.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56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the illustration thereof by the substitution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56</w:t>
            </w:r>
          </w:p>
        </w:tc>
      </w:tr>
      <w:tr>
        <w:trPr>
          <w:trHeight w:hRule="exact" w:val="15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3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“waging war against the Government,”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“waging war against the Republic,”.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115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“to deprive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115 of the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Queen of the sovereignty of Ceylon or of any part thereof,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any of her Majesty’s Realms and Territories,”, of the words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“to deprive the People of the Republic of Sri Lanka of their </w:t>
      </w:r>
      <w:r>
        <w:rPr>
          <w:rFonts w:ascii="Times" w:hAnsi="Times" w:eastAsia="Times"/>
          <w:b w:val="0"/>
          <w:i w:val="0"/>
          <w:color w:val="221F1F"/>
          <w:sz w:val="20"/>
        </w:rPr>
        <w:t>sovereignty in Sri Lanka or any part thereof,”.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3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1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119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substitution—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“Governor-General or a Senator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of Parliament”, wherever those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appear in that section of the words “President or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0" w:right="42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Member of Parliament”; and</w:t>
      </w:r>
    </w:p>
    <w:p>
      <w:pPr>
        <w:autoSpaceDN w:val="0"/>
        <w:tabs>
          <w:tab w:pos="2422" w:val="left"/>
          <w:tab w:pos="2432" w:val="left"/>
        </w:tabs>
        <w:autoSpaceDE w:val="0"/>
        <w:widowControl/>
        <w:spacing w:line="245" w:lineRule="auto" w:before="230" w:after="170"/>
        <w:ind w:left="203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marginal note, for the word “Governor-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General”, of the word “President”.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120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120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“the Queen or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304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Her Government in Ceylon,”, of the words “the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President or to the Government of the Republic”;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“the Queen’s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subjects” and “subjects”, respectively, of the words,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“the People of Sri Lanka” and “people”;</w:t>
            </w:r>
          </w:p>
        </w:tc>
      </w:tr>
      <w:tr>
        <w:trPr>
          <w:trHeight w:hRule="exact" w:val="4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explanation thereof,—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Queen or  Her Government in Ceylon,”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2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“the President or the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of the Republic”; and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“the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Queen’s subjects” wherever those words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appear in the explanation, of the words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“the People of Sri Lanka”.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5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138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6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138 of the</w:t>
            </w:r>
          </w:p>
        </w:tc>
      </w:tr>
      <w:tr>
        <w:trPr>
          <w:trHeight w:hRule="exact" w:val="171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“Her majesty’s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Government in Ceylon or the Senate or the House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4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Representatives”, of the words “the 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Republic or the Parliament”;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1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Penal Code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496" w:after="68"/>
        <w:ind w:left="20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the words “Governor-General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Ceylon.” of the words “President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Republic.”.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158 of the principal enactment is hereby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“Government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158 of the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Ceylon”, of the words “Government of the Republic”.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159 of the principal enactment is hereby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77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“the Senate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159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House of Representatives or the Executive Government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Ceylon”, of the words “the Parliament or the Executive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5" w:lineRule="auto" w:before="2" w:after="18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Government of the Republic”.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160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“the Senate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House of Representatives or the Executive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82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of Ceylon” of the words “the Parliament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the Executive Government of the Republic”;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illustration thereof, by the substitution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 the  words  “An  advocate”  of  the 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“An attorney-at-law”.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162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162 of the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“the Government”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0" w:right="3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words “the Republic”;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marginal note thereof, by the substitution for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“the Government” of the word “the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160"/>
        <w:ind w:left="0" w:right="56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Republic”.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 191 and 192 of the principal enactment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are hereby amended by the substitution for the words “this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191 and 192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code or the law of England”, of the words “this code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enactment for the time being in force”.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3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225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225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2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“issued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of the Government of Ceylon or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Currency Ordinance, No. 21 of 1941,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 in operation for the time being relating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issue of coins in Ceylon or by the authority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Government of any part of Her Majesty’s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Realms and Territories” of the words “issued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of the Government of Ceylon or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Currency Ordinance, No. 21 of 1941 or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Monetary Law Act (Chapter 422) or under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 in operation for the time being relating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issue of coins in Sri Lanka”;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2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“in Ceylon or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part of Her Majesty’s Realms and Territories”,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“in Sri Lanka”.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256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“Her Majesty’s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in Ceylon and also the Government in any part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Her Majesty’s Realms and Territories or in any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country.”, of the words “the Government of any foreign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country.”.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9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398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the illustration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the substitution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398 of the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“Civil Service,”, of the words “Sri Lanka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Adminstrative Service,”.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449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 “Crown.”,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449 of the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 “State.”.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7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468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91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“in any part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468 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 Majesty’s Realms and Territories or in any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country”, wherever those words appear in that section,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“in Sri Lanka or in any foreign country”.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4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478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(2)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478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 and the substitution therefor of the following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paragraph:—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406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“currency note” means a currency note issued under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516" w:val="left"/>
        </w:tabs>
        <w:autoSpaceDE w:val="0"/>
        <w:widowControl/>
        <w:spacing w:line="266" w:lineRule="auto" w:before="16" w:after="226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Currency Ordinance, No. 21 of 1941, or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Monetary Law Act (Chapter 422),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enactment in operation for the time being relating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issue of paper currency in Sri Lanka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any note of a similar character, by whatever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 called, issued by or on behalf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 of any foreign State.”.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485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“of Her Majesty”,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485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“of the Republic”.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90.0" w:type="dxa"/>
      </w:tblPr>
      <w:tblGrid>
        <w:gridCol w:w="4510"/>
        <w:gridCol w:w="4510"/>
      </w:tblGrid>
      <w:tr>
        <w:trPr>
          <w:trHeight w:hRule="exact" w:val="320"/>
        </w:trPr>
        <w:tc>
          <w:tcPr>
            <w:tcW w:type="dxa" w:w="830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20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</w:tr>
    </w:tbl>
    <w:p>
      <w:pPr>
        <w:autoSpaceDN w:val="0"/>
        <w:autoSpaceDE w:val="0"/>
        <w:widowControl/>
        <w:spacing w:line="235" w:lineRule="auto" w:before="9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