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44" w:after="0"/>
        <w:ind w:left="18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INTELLECTUAL PROPERTY (AMENDMENT)</w:t>
      </w:r>
    </w:p>
    <w:p>
      <w:pPr>
        <w:autoSpaceDN w:val="0"/>
        <w:autoSpaceDE w:val="0"/>
        <w:widowControl/>
        <w:spacing w:line="238" w:lineRule="auto" w:before="30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16" w:after="0"/>
        <w:ind w:left="215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 the Intellectual Property Act, No. 36 of  2003</w:t>
      </w:r>
    </w:p>
    <w:p>
      <w:pPr>
        <w:autoSpaceDN w:val="0"/>
        <w:autoSpaceDE w:val="0"/>
        <w:widowControl/>
        <w:spacing w:line="235" w:lineRule="auto" w:before="3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72" w:after="0"/>
        <w:ind w:left="19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the Minister of Trade on 26th of November, 2020</w:t>
      </w:r>
    </w:p>
    <w:p>
      <w:pPr>
        <w:autoSpaceDN w:val="0"/>
        <w:autoSpaceDE w:val="0"/>
        <w:widowControl/>
        <w:spacing w:line="235" w:lineRule="auto" w:before="326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27, 2018)</w:t>
      </w:r>
    </w:p>
    <w:p>
      <w:pPr>
        <w:autoSpaceDN w:val="0"/>
        <w:autoSpaceDE w:val="0"/>
        <w:widowControl/>
        <w:spacing w:line="238" w:lineRule="auto" w:before="33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3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13]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7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12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2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5 of the Intellectual Property Act, No. 36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2003 (hereinafter referred to as the “principal enactment”) and the legal effect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as amended is to insert certain new definitions as consequential to the new section </w:t>
      </w:r>
      <w:r>
        <w:rPr>
          <w:rFonts w:ascii="Times" w:hAnsi="Times" w:eastAsia="Times"/>
          <w:b w:val="0"/>
          <w:i w:val="0"/>
          <w:color w:val="000000"/>
          <w:sz w:val="16"/>
        </w:rPr>
        <w:t>12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inserted in the principal enactment.</w:t>
      </w:r>
    </w:p>
    <w:p>
      <w:pPr>
        <w:autoSpaceDN w:val="0"/>
        <w:tabs>
          <w:tab w:pos="1676" w:val="left"/>
        </w:tabs>
        <w:autoSpaceDE w:val="0"/>
        <w:widowControl/>
        <w:spacing w:line="250" w:lineRule="auto" w:before="222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inserts new section 12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the principal enactment in order to </w:t>
      </w:r>
      <w:r>
        <w:rPr>
          <w:rFonts w:ascii="Times" w:hAnsi="Times" w:eastAsia="Times"/>
          <w:b w:val="0"/>
          <w:i w:val="0"/>
          <w:color w:val="000000"/>
          <w:sz w:val="16"/>
        </w:rPr>
        <w:t>enable any beneficiary person to access copies of certain works.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Intellectual Property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11/2016</w:t>
      </w:r>
    </w:p>
    <w:p>
      <w:pPr>
        <w:autoSpaceDN w:val="0"/>
        <w:autoSpaceDE w:val="0"/>
        <w:widowControl/>
        <w:spacing w:line="271" w:lineRule="auto" w:before="358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NTELLECTUAL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.36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2003</w:t>
      </w:r>
    </w:p>
    <w:p>
      <w:pPr>
        <w:autoSpaceDN w:val="0"/>
        <w:autoSpaceDE w:val="0"/>
        <w:widowControl/>
        <w:spacing w:line="271" w:lineRule="auto" w:before="358" w:after="29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Intellectual Property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32" w:after="29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Intellectual Property Act, No. 36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2003 (hereinafter referred to as the “principal enactment”)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follows:—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36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2003.</w:t>
            </w:r>
          </w:p>
        </w:tc>
      </w:tr>
      <w:tr>
        <w:trPr>
          <w:trHeight w:hRule="exact" w:val="45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before the definition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71" w:lineRule="auto" w:before="3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expression “audiovisual work”,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definition:–</w:t>
      </w:r>
    </w:p>
    <w:p>
      <w:pPr>
        <w:autoSpaceDN w:val="0"/>
        <w:tabs>
          <w:tab w:pos="2576" w:val="left"/>
          <w:tab w:pos="2996" w:val="left"/>
        </w:tabs>
        <w:autoSpaceDE w:val="0"/>
        <w:widowControl/>
        <w:spacing w:line="298" w:lineRule="auto" w:before="35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‘“accessible format” means a copy of a work in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alternative form or manner which gives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beneficiary person access to such work,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to permit such person to have access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feasibly and comfortably as a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any disability which a beneficiary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has. The accessible format copy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used exclusively by beneficiary persons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shall respect the intergrity of the original</w:t>
      </w:r>
    </w:p>
    <w:p>
      <w:pPr>
        <w:autoSpaceDN w:val="0"/>
        <w:tabs>
          <w:tab w:pos="2996" w:val="left"/>
        </w:tabs>
        <w:autoSpaceDE w:val="0"/>
        <w:widowControl/>
        <w:spacing w:line="288" w:lineRule="auto" w:before="6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work, taking into consideration of the changes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needed to make the work accessible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alternative format and of the accessibility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needs of the beneficiary person;”.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Intellectual Property (Amendment)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“author”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definition:–</w:t>
      </w:r>
    </w:p>
    <w:p>
      <w:pPr>
        <w:autoSpaceDN w:val="0"/>
        <w:autoSpaceDE w:val="0"/>
        <w:widowControl/>
        <w:spacing w:line="238" w:lineRule="auto" w:before="282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  “beneficiary person” means any person who–</w:t>
      </w:r>
    </w:p>
    <w:p>
      <w:pPr>
        <w:autoSpaceDN w:val="0"/>
        <w:tabs>
          <w:tab w:pos="2918" w:val="left"/>
        </w:tabs>
        <w:autoSpaceDE w:val="0"/>
        <w:widowControl/>
        <w:spacing w:line="254" w:lineRule="auto" w:before="280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is blind;</w:t>
      </w:r>
    </w:p>
    <w:p>
      <w:pPr>
        <w:autoSpaceDN w:val="0"/>
        <w:tabs>
          <w:tab w:pos="2918" w:val="left"/>
          <w:tab w:pos="3244" w:val="left"/>
        </w:tabs>
        <w:autoSpaceDE w:val="0"/>
        <w:widowControl/>
        <w:spacing w:line="262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a visual impairment or a perceptual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reading disability which cannot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improved to give visual function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substantially equivalent to a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no such impairment or disability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unable to read printed works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substantially the same degree as a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any such impairment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disability; or</w:t>
      </w:r>
    </w:p>
    <w:p>
      <w:pPr>
        <w:autoSpaceDN w:val="0"/>
        <w:tabs>
          <w:tab w:pos="2934" w:val="left"/>
          <w:tab w:pos="3244" w:val="left"/>
        </w:tabs>
        <w:autoSpaceDE w:val="0"/>
        <w:widowControl/>
        <w:spacing w:line="259" w:lineRule="auto" w:before="278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otherwise unable, through physical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disability to hold or manipulate a book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focus or move eyes to the extent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acceptable for reading,</w:t>
      </w:r>
    </w:p>
    <w:p>
      <w:pPr>
        <w:autoSpaceDN w:val="0"/>
        <w:autoSpaceDE w:val="0"/>
        <w:widowControl/>
        <w:spacing w:line="238" w:lineRule="auto" w:before="282" w:after="218"/>
        <w:ind w:left="0" w:right="32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regardless of any other disability;”.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12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“Fair use of 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Notwithstanding anything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by any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 in this Part, any authorized entity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authorized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adapt, reproduce and issue of copies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entity to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work in an accessible format for the benefit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facilitate a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beneficiary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beneficiary person in order to facilitate such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person.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beneficiary person to access such work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2" w:lineRule="auto" w:before="1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sharing with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beneficiary person of such work where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496" w:after="1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reproduction is made exclusively for the own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of the beneficiary person, his educational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or research and where the original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format of such work prevents the enjoyment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thereof by such person. Such adaptation,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reproduction and issue of copies of any work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authorized entity shall not be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infringement of copyright.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4" w:lineRule="auto" w:before="26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for any work only where such work is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commercially available in such accessible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format under reasonable terms. In such event,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shall deposit a notification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of the World Intellectual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Organization declaring the limitations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exceptions, as the case may be, to such work.</w:t>
      </w:r>
    </w:p>
    <w:p>
      <w:pPr>
        <w:autoSpaceDN w:val="0"/>
        <w:autoSpaceDE w:val="0"/>
        <w:widowControl/>
        <w:spacing w:line="238" w:lineRule="auto" w:before="512" w:after="0"/>
        <w:ind w:left="0" w:right="3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An authorized entity shall–</w:t>
      </w:r>
    </w:p>
    <w:p>
      <w:pPr>
        <w:autoSpaceDN w:val="0"/>
        <w:tabs>
          <w:tab w:pos="3432" w:val="left"/>
          <w:tab w:pos="3778" w:val="left"/>
        </w:tabs>
        <w:autoSpaceDE w:val="0"/>
        <w:widowControl/>
        <w:spacing w:line="252" w:lineRule="auto" w:before="26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such persons or organizations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prescribed by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consultation with the 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of Intellectual Property;</w:t>
      </w:r>
    </w:p>
    <w:p>
      <w:pPr>
        <w:autoSpaceDN w:val="0"/>
        <w:tabs>
          <w:tab w:pos="3432" w:val="left"/>
          <w:tab w:pos="3778" w:val="left"/>
        </w:tabs>
        <w:autoSpaceDE w:val="0"/>
        <w:widowControl/>
        <w:spacing w:line="254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available to any beneficiary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copies of any work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accessible format on non-profit basis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recovering only the cost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of such work in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accessible format;</w:t>
      </w:r>
    </w:p>
    <w:p>
      <w:pPr>
        <w:autoSpaceDN w:val="0"/>
        <w:autoSpaceDE w:val="0"/>
        <w:widowControl/>
        <w:spacing w:line="238" w:lineRule="auto" w:before="264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ensure that copies of any work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10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accessible format are used only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beneficiary person and take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3744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steps to prevent its entry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into ordinary channels of business;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Intellectual Property (Amendment)</w:t>
      </w:r>
    </w:p>
    <w:p>
      <w:pPr>
        <w:autoSpaceDN w:val="0"/>
        <w:autoSpaceDE w:val="0"/>
        <w:widowControl/>
        <w:spacing w:line="257" w:lineRule="auto" w:before="500" w:after="12"/>
        <w:ind w:left="36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limit the supply of copies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 in accessible format only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adapt, reproduce and issue of copies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work to the beneficiary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1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persons or any other persons acting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behalf of the beneficiary person;</w:t>
            </w:r>
          </w:p>
        </w:tc>
      </w:tr>
    </w:tbl>
    <w:p>
      <w:pPr>
        <w:autoSpaceDN w:val="0"/>
        <w:tabs>
          <w:tab w:pos="3354" w:val="left"/>
          <w:tab w:pos="3682" w:val="left"/>
        </w:tabs>
        <w:autoSpaceDE w:val="0"/>
        <w:widowControl/>
        <w:spacing w:line="257" w:lineRule="auto" w:before="216" w:after="0"/>
        <w:ind w:left="13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discourage the reproduction,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and making available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unauthorized copies of any work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acccessible format; and</w:t>
      </w:r>
    </w:p>
    <w:p>
      <w:pPr>
        <w:autoSpaceDN w:val="0"/>
        <w:autoSpaceDE w:val="0"/>
        <w:widowControl/>
        <w:spacing w:line="247" w:lineRule="auto" w:before="254" w:after="6"/>
        <w:ind w:left="368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maintain due care in, and records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handling of copies of any 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accessible format while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respecting the privacy of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beneficiary person.”.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8.0" w:type="dxa"/>
      </w:tblPr>
      <w:tblGrid>
        <w:gridCol w:w="4510"/>
        <w:gridCol w:w="4510"/>
      </w:tblGrid>
      <w:tr>
        <w:trPr>
          <w:trHeight w:hRule="exact" w:val="9500"/>
        </w:trPr>
        <w:tc>
          <w:tcPr>
            <w:tcW w:type="dxa" w:w="461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Intellectual Property (Amendment)</w:t>
            </w:r>
          </w:p>
        </w:tc>
        <w:tc>
          <w:tcPr>
            <w:tcW w:type="dxa" w:w="163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38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