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5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52" w:after="0"/>
        <w:ind w:left="0" w:right="27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MINIMUM AGE OF MARRIAGE</w:t>
      </w:r>
    </w:p>
    <w:p>
      <w:pPr>
        <w:autoSpaceDN w:val="0"/>
        <w:autoSpaceDE w:val="0"/>
        <w:widowControl/>
        <w:spacing w:line="238" w:lineRule="auto" w:before="45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4" w:after="0"/>
        <w:ind w:left="20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introduce the Minimum Age of Marriage in Sri Lanka</w:t>
      </w:r>
    </w:p>
    <w:p>
      <w:pPr>
        <w:autoSpaceDN w:val="0"/>
        <w:autoSpaceDE w:val="0"/>
        <w:widowControl/>
        <w:spacing w:line="238" w:lineRule="auto" w:before="41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310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Hon. Premitha Bandara Tennakoon,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M.P.  for Matale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02nd of December 2020</w:t>
      </w:r>
    </w:p>
    <w:p>
      <w:pPr>
        <w:autoSpaceDN w:val="0"/>
        <w:autoSpaceDE w:val="0"/>
        <w:widowControl/>
        <w:spacing w:line="238" w:lineRule="auto" w:before="242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25, 2020)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7" w:lineRule="auto" w:before="332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17]</w:t>
      </w:r>
    </w:p>
    <w:p>
      <w:pPr>
        <w:autoSpaceDN w:val="0"/>
        <w:autoSpaceDE w:val="0"/>
        <w:widowControl/>
        <w:spacing w:line="245" w:lineRule="auto" w:before="88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24" w:val="left"/>
        </w:tabs>
        <w:autoSpaceDE w:val="0"/>
        <w:widowControl/>
        <w:spacing w:line="235" w:lineRule="auto" w:before="8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5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2" w:lineRule="auto" w:before="458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INTRODUCE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INIMUM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GE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ARRIAGE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child or underage marriage is an infringement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5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young person’s right to education, development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and as such is considered a serious social evil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render vulnerable the children of Sri Lanka to forms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or mental violence, injury or abuse, neglect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negligent treatment, maltreatment or exploitation,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sexual abuse: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32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that Sri Lanka guarantees equal protection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to all its people regardless of age, race, religion, language,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caste, sex, political opinion, place of birth or any one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grounds: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duty of the State owed to future generations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that such future generations have the opportunity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learn, develop and grow to become a better and more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prosperous society: and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3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of this Act to afford to all persons under the 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eighteen all possible protection of the law and to ensure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person shall consent or decide on their behalf to enter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into a marriage and to introduce measures for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organs of the State give full effect to the spirit and letter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thereby convey that the State is committed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elimination of child marriage:</w:t>
      </w:r>
    </w:p>
    <w:p>
      <w:pPr>
        <w:autoSpaceDN w:val="0"/>
        <w:autoSpaceDE w:val="0"/>
        <w:widowControl/>
        <w:spacing w:line="262" w:lineRule="auto" w:before="326" w:after="25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Minimum Age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Marriage Act, No.    of 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Minimum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marriage contracted after the coming into force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be valid unless both parties to the marriage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 is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eighteen.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completed eighteen years of age.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Every child marriage, whether solemnised before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after the commencement of this Act, shall be voidable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marriages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voidable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option of the contracting party who was a child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the marriage;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option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contracting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 Provided that an application for annulling a child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party being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 by a decree of nullity may be filed in the District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in the local jurisdiction in which the applicant resides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only a contracting party to the marriage who was </w:t>
      </w:r>
      <w:r>
        <w:rPr>
          <w:rFonts w:ascii="Times" w:hAnsi="Times" w:eastAsia="Times"/>
          <w:b w:val="0"/>
          <w:i w:val="0"/>
          <w:color w:val="221F1F"/>
          <w:sz w:val="20"/>
        </w:rPr>
        <w:t>child at the time of the marriage;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(iii) If at the time of filing an application, the applicant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minor, the application may be filed through his or 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guardian or next friend;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application under this section may be filed 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but before the child filing the application completes </w:t>
      </w:r>
      <w:r>
        <w:rPr>
          <w:rFonts w:ascii="Times" w:hAnsi="Times" w:eastAsia="Times"/>
          <w:b w:val="0"/>
          <w:i w:val="0"/>
          <w:color w:val="221F1F"/>
          <w:sz w:val="20"/>
        </w:rPr>
        <w:t>two years of attaining majority;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Every application under this section shall be made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and shall be signed by the applicant or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the application on his behalf and shall be free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stamp duty. Every summons to a respondent or a 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also be free of stamp duty;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Once an application is filed and Court is satisfied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application that—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applicant had not reached the age of 18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the marriage was registered; and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that the marriage was registered,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shall make grant a decree of nullity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marriage;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Age of Marriage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7" w:lineRule="auto" w:before="500" w:after="1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While granting a decree of nullity under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an order directing both the parties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marriage and their parents or their guardians to return </w:t>
      </w:r>
      <w:r>
        <w:rPr>
          <w:rFonts w:ascii="Times" w:hAnsi="Times" w:eastAsia="Times"/>
          <w:b w:val="0"/>
          <w:i w:val="0"/>
          <w:color w:val="000000"/>
          <w:sz w:val="20"/>
        </w:rPr>
        <w:t>to  the other party, his or her parents or guardian,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may be, the money, valuables, ornaments and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 received on the occasion of the marriage by them from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other side, or an amount equal to the value of such </w:t>
      </w:r>
      <w:r>
        <w:rPr>
          <w:rFonts w:ascii="Times" w:hAnsi="Times" w:eastAsia="Times"/>
          <w:b w:val="0"/>
          <w:i w:val="0"/>
          <w:color w:val="000000"/>
          <w:sz w:val="20"/>
        </w:rPr>
        <w:t>valuables, ornaments, other gifts and money: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order under this section shall be executed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concerned parties have been given notices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before the Court and show cause why such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should not be passed;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Where there are children born of the child marriage,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an appropriate order for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children. While making an order for the custody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under this section, the welfare and best interests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shall be the paramount consideration to be given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(ix) An order for custody of a child may also include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directions for giving to the other party access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child in such a manner as may best serve the interest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child, and such  other orders as the Court may,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of the child, deem proper;</w:t>
      </w:r>
    </w:p>
    <w:p>
      <w:pPr>
        <w:autoSpaceDN w:val="0"/>
        <w:autoSpaceDE w:val="0"/>
        <w:widowControl/>
        <w:spacing w:line="238" w:lineRule="auto" w:before="276" w:after="1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(x) The Court may also make an appropriate order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maintenance to the child by a party to the marriage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Legitimacy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their parents or guardians.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that a child marriage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annulled by a decree of nullity under section 3, every child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children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born of child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begotten or conceived such marriage before the decree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marriages.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made, whether born before or after the commencement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be deemed to be a legitimate child for all </w:t>
      </w:r>
      <w:r>
        <w:rPr>
          <w:rFonts w:ascii="Times" w:hAnsi="Times" w:eastAsia="Times"/>
          <w:b w:val="0"/>
          <w:i w:val="0"/>
          <w:color w:val="000000"/>
          <w:sz w:val="20"/>
        </w:rPr>
        <w:t>purposes.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“child” means, any person who has not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attained the age of eighteen;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 marriage” means, a marriage to which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one or both party is a child;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“marriage” means, any marriage, including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marriages contracted under and by virtue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Kandyan Marriage and Divorce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44 of 1952 as amended and marriages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contracted between persons professing Islam;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“registrar” means, any District Registrar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Divisional Registrar as appointed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Marriage Registration Ordinance,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Kandyan Marriage and Divorce Act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Muslim Marriage and Divorce Act.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Whoever commits an offence under this section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on conviction after summary trial before a </w:t>
      </w:r>
      <w:r>
        <w:rPr>
          <w:rFonts w:ascii="Times" w:hAnsi="Times" w:eastAsia="Times"/>
          <w:b w:val="0"/>
          <w:i w:val="0"/>
          <w:color w:val="000000"/>
          <w:sz w:val="20"/>
        </w:rPr>
        <w:t>Magistrate to the punishment and fine stipulated:—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Whoever performs, conducts, directs or abets any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 marriage shall be punishable with rigorous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which may extend to two years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liable to fine not exceeding one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unless he proves that he had reasons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believe that the marriage was not a child marriage;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child contracts a child marriage, any person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charge of the child, whether as parent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guardian or any other person or in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capacity, lawful or unlawful,  including any 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 organisation or associaton of persons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does any act to promote the marriage or permits it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solemnised, or negligently fails to prevent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being solemnised including attending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Age of Marriage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94" w:after="18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participating in a child marriage,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with rigorous imprisonment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two years and shall also be liable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fine not exceeding one hundred thousand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shall knowingly or willfully make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false declaration to the relevant Registrar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 that either party has completed eighteen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of age where such party has not so completed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eighteen years of age, shall be guilty of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with simple imprisonment for any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year, or with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fifty thousand rupees, or with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have effect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contained in any other written law,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Law shall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accordingly in the event of any conflict or inconsistency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such other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 the provisions of this Act and such other law,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prevail over such other 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24"/>
        </w:trPr>
        <w:tc>
          <w:tcPr>
            <w:tcW w:type="dxa" w:w="10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1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