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 LANKA  SOCIETY  OF  PHYSIOTHERAPY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6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Sri Lanka Society of Physiotherapy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exact" w:before="240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S. M. Marikkar, M.P. for Colombo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02nd of December 2020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23, 2020)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7" w:lineRule="auto" w:before="172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16]</w:t>
      </w:r>
    </w:p>
    <w:p>
      <w:pPr>
        <w:autoSpaceDN w:val="0"/>
        <w:autoSpaceDE w:val="0"/>
        <w:widowControl/>
        <w:spacing w:line="245" w:lineRule="auto" w:before="88" w:after="44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8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23.00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7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HYSIOTHERAPY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8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Society called and known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Physiotherapy”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76" w:lineRule="auto" w:before="32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 Society has heretofore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292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 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“Society”)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 hereby constituted, shall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Society of 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“Corporation”) and by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to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the only professional,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and regulatory body for all the physiotherapists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physiotherapy and allied sciences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maintenance of the honor and interest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physiotherapy profession, whilst maintaining good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with the Government of Sri Lanka,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particularly the Minister in charge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Health in order to achieve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physiotherapy profession in the republic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Sri Lanka in its all aspects and requirements;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 focal point for its members to meet,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 and resolve common problems;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of sums of money out of the funds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for the promotion of the physiotherapy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allied sciences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determined by the society;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physiotherapy benevolent fund,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relief of decayed or necessitous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 profession;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spouse, establish further and promote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relationships, in furtherance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society with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physiotherapy organizations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diriving benefits and assistance for securing expert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or advice for promoting the cause of the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its members of the physiotherapy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and keep them informed of the latest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and advancement in physiotherapy,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locally and internationally;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forum which enables the members to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their knowledge and skills in the fields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improve the standard of professional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members in order to promote and achieve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efficiency and effectiveness of the physiotherapy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professionals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further;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4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code of professional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registered with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periodical journal, this shall be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journal of 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periodical meetings of the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lease, rent, hold and dispose of any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and premises for use as halls, libraries, lecture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rooms or any other purpose of the 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instruction and training to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research into issues in the field of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grants to universities, other educational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of individuals of high professional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standard, for promotions of the study of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physiotherapy;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8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run, operate, undertake and maintain training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in-service training centers and, or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skilled personnel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furthering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avail the services of foreign and local consultants,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experts, volunteers with or without remuneration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field of the work of the Society;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4" w:after="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or cause to be trained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cost and expense of the society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whomsoever approved by the Society for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furtherance of the objects of the Society;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and raise money required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association by way of subscriptions,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donations, endowments, benefactions in cash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kind or in movable or immovable property,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or not to any special trust or conditions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of furtherance of any for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hire purchase contacts with banks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lending institutions for the purchase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vehicles, plant, machinery or any other matters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things that may be required by the Society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buy, sell, mortgage, lease, dispose of or otherwise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any property and assets of the Society in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with foreign organizations, 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person or body corporate or otherwise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furthering the interest of the Society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carry on any or all of the objects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and deal with the moneys of the Society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immediately required by the Society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its objects in or upon such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securities and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determid.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the implementation of the objects specified in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(1) above, the Corporation shall ensure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shall be carried out without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manner,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(1)Subject to the provisions of this Act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Province.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autoSpaceDE w:val="0"/>
        <w:widowControl/>
        <w:spacing w:line="235" w:lineRule="auto" w:before="266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Society that holds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until the first Board is appointed or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7;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first Board of the Corporation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elected within one year of the date of commencement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of three years and any such office bearer, patron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due to the death, resignation,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or removal from office of an office bearer,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shall, having regard to the rules of the Corporation, </w:t>
      </w:r>
      <w:r>
        <w:rPr>
          <w:rFonts w:ascii="Times" w:hAnsi="Times" w:eastAsia="Times"/>
          <w:b w:val="0"/>
          <w:i w:val="0"/>
          <w:color w:val="000000"/>
          <w:sz w:val="20"/>
        </w:rPr>
        <w:t>elect or appoint a person to fill such vacancy; and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28" w:after="182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power:—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reqiured for the purpose of the Corporation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open, operate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the Corporation in such manner</w:t>
      </w:r>
    </w:p>
    <w:p>
      <w:pPr>
        <w:autoSpaceDN w:val="0"/>
        <w:autoSpaceDE w:val="0"/>
        <w:widowControl/>
        <w:spacing w:line="235" w:lineRule="auto" w:before="30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Board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 by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 sub-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thereof, notices and agenda of such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conduct of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Corporation;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16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for the Corporation.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2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Register of Members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custody of the Secretary to the Board, and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open for inspection by any member of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36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>donation, subscription, contribution, fees or grant for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the Corporation shall be deposited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approved by the Board to the credit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secretary, treasurer and one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will have the power to make, draw, and accept,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discount, endorse, negotiate, buy, sell and issue bills of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cheques, promissory notes and other negotiable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transferable instruments or securities and to open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banking accounts for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appointed by the Auditor-General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0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should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>of Social Services and to the Registrar of Voluntary Social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Organizations appointed under the Voluntary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Act, No. 31 of 1980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six months of the year succeeding the year to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4" w:after="194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Society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Act,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 made under section 7, with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similar to those of the Corporation and which, is 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45" w:lineRule="auto" w:before="242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39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