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80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872" w:right="1728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172" w:after="0"/>
        <w:ind w:left="0" w:right="32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January 08, 2021</w:t>
      </w:r>
    </w:p>
    <w:p>
      <w:pPr>
        <w:autoSpaceDN w:val="0"/>
        <w:autoSpaceDE w:val="0"/>
        <w:widowControl/>
        <w:spacing w:line="332" w:lineRule="exact" w:before="156" w:after="0"/>
        <w:ind w:left="0" w:right="380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52" w:after="0"/>
        <w:ind w:left="0" w:right="352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11.01.2021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1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5" w:lineRule="auto" w:before="330" w:after="0"/>
        <w:ind w:left="224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6"/>
        </w:rPr>
        <w:t xml:space="preserve"> RATHANATISSA  PEACE  FOUNDATION</w:t>
      </w:r>
    </w:p>
    <w:p>
      <w:pPr>
        <w:autoSpaceDN w:val="0"/>
        <w:autoSpaceDE w:val="0"/>
        <w:widowControl/>
        <w:spacing w:line="360" w:lineRule="exact" w:before="0" w:after="0"/>
        <w:ind w:left="0" w:right="3424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>(INCORPORATION)</w:t>
      </w:r>
    </w:p>
    <w:p>
      <w:pPr>
        <w:autoSpaceDN w:val="0"/>
        <w:autoSpaceDE w:val="0"/>
        <w:widowControl/>
        <w:spacing w:line="244" w:lineRule="exact" w:before="214" w:after="0"/>
        <w:ind w:left="0" w:right="3684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332" w:lineRule="exact" w:before="180" w:after="0"/>
        <w:ind w:left="0" w:right="454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18" w:after="0"/>
        <w:ind w:left="0" w:right="434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8" w:lineRule="exact" w:before="222" w:after="0"/>
        <w:ind w:left="0" w:right="2652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to incorporate Rathanatissa Peace Foundation</w:t>
      </w:r>
    </w:p>
    <w:p>
      <w:pPr>
        <w:autoSpaceDN w:val="0"/>
        <w:autoSpaceDE w:val="0"/>
        <w:widowControl/>
        <w:spacing w:line="246" w:lineRule="exact" w:before="268" w:after="0"/>
        <w:ind w:left="2056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To be presented in Parliament by Hon. U. K. Sumith Udukumbura,</w:t>
      </w:r>
    </w:p>
    <w:p>
      <w:pPr>
        <w:autoSpaceDN w:val="0"/>
        <w:autoSpaceDE w:val="0"/>
        <w:widowControl/>
        <w:spacing w:line="246" w:lineRule="exact" w:before="0" w:after="0"/>
        <w:ind w:left="0" w:right="3452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M. P. for Kurunegala District</w:t>
      </w:r>
    </w:p>
    <w:p>
      <w:pPr>
        <w:autoSpaceDN w:val="0"/>
        <w:autoSpaceDE w:val="0"/>
        <w:widowControl/>
        <w:spacing w:line="214" w:lineRule="exact" w:before="252" w:after="0"/>
        <w:ind w:left="0" w:right="2662" w:firstLine="0"/>
        <w:jc w:val="right"/>
      </w:pP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PRINTING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50" w:after="0"/>
        <w:ind w:left="0" w:right="2442" w:firstLine="0"/>
        <w:jc w:val="right"/>
      </w:pP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BUREAU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COLOMBO</w:t>
      </w:r>
      <w:r>
        <w:rPr>
          <w:rFonts w:ascii="TimesNewRoman" w:hAnsi="TimesNewRoman" w:eastAsia="TimesNewRoman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208" w:val="left"/>
        </w:tabs>
        <w:autoSpaceDE w:val="0"/>
        <w:widowControl/>
        <w:spacing w:line="276" w:lineRule="exact" w:before="8" w:after="0"/>
        <w:ind w:left="162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7088" w:val="left"/>
        </w:tabs>
        <w:autoSpaceDE w:val="0"/>
        <w:widowControl/>
        <w:spacing w:line="240" w:lineRule="auto" w:before="102" w:after="0"/>
        <w:ind w:left="160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006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02" w:right="1440" w:bottom="1440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306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4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Rathanatissa Peace Foundation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12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496" w:after="0"/>
        <w:ind w:left="197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ATHANATISSA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EACE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6736" w:val="left"/>
        </w:tabs>
        <w:autoSpaceDE w:val="0"/>
        <w:widowControl/>
        <w:spacing w:line="250" w:lineRule="auto" w:before="266" w:after="10"/>
        <w:ind w:left="1798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“Rathanatissa Peace Foundation” has heretofore been formed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Sri Lanka  for the purpose of effectually carrying out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transacting all objects and matters connected with the said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 according to the rules agreed to by the members:</w:t>
            </w:r>
          </w:p>
        </w:tc>
      </w:tr>
    </w:tbl>
    <w:p>
      <w:pPr>
        <w:autoSpaceDN w:val="0"/>
        <w:autoSpaceDE w:val="0"/>
        <w:widowControl/>
        <w:spacing w:line="252" w:lineRule="auto" w:before="20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formed and has applied to be </w:t>
      </w:r>
      <w:r>
        <w:rPr>
          <w:rFonts w:ascii="Times" w:hAnsi="Times" w:eastAsia="Times"/>
          <w:b w:val="0"/>
          <w:i w:val="0"/>
          <w:color w:val="221F1F"/>
          <w:sz w:val="20"/>
        </w:rPr>
        <w:t>incorporated, and it will be for the public advantage to grant</w:t>
      </w:r>
    </w:p>
    <w:p>
      <w:pPr>
        <w:autoSpaceDN w:val="0"/>
        <w:tabs>
          <w:tab w:pos="1798" w:val="left"/>
        </w:tabs>
        <w:autoSpaceDE w:val="0"/>
        <w:widowControl/>
        <w:spacing w:line="262" w:lineRule="auto" w:before="1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application:</w:t>
      </w:r>
    </w:p>
    <w:p>
      <w:pPr>
        <w:autoSpaceDN w:val="0"/>
        <w:autoSpaceDE w:val="0"/>
        <w:widowControl/>
        <w:spacing w:line="247" w:lineRule="auto" w:before="242" w:after="20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Rathanatissa Peace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Foundation (Incorporation) Act, No.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Rathanatissa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“Rathanatissa Peace Foundation” (hereinafter referred to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Peace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“Foundation”) or shall hereafter be admitted as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Foundation.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hereby constituted, shall be a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with perpetual succession under the name and style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8" w:after="19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“Rathanatissa Peace Foundation” (hereinafter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as the “Corporation”) and by that name may sue and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sued and have full power and authority to have and use a </w:t>
      </w:r>
      <w:r>
        <w:rPr>
          <w:rFonts w:ascii="Times" w:hAnsi="Times" w:eastAsia="Times"/>
          <w:b w:val="0"/>
          <w:i w:val="0"/>
          <w:color w:val="221F1F"/>
          <w:sz w:val="20"/>
        </w:rPr>
        <w:t>common seal and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7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assistance to religious places;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assistance to pirivenas;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2" w:val="left"/>
          <w:tab w:pos="3466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Rathanatissa Peace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512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organize leadership programmes;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308" w:after="25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assist in the development of educational,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religious, cultural, aesthetic and sports facilities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without any reference to race, religious or caste;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3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setting free of cattle destined for slaughter.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affairs of the Corporation shall, subject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provisions of this Act and the rules in force for the time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of the corporation be administered by a Committee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consisting of Chairman, Secretary and Treasurer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elected in accordance with such rules.</w:t>
      </w:r>
    </w:p>
    <w:p>
      <w:pPr>
        <w:autoSpaceDN w:val="0"/>
        <w:autoSpaceDE w:val="0"/>
        <w:widowControl/>
        <w:spacing w:line="264" w:lineRule="auto" w:before="30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founder member of the Foundation, Deshamanya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Ven. Eriyawe Rathanatissa Thero shall be the Chairman of </w:t>
      </w:r>
      <w:r>
        <w:rPr>
          <w:rFonts w:ascii="Times" w:hAnsi="Times" w:eastAsia="Times"/>
          <w:b w:val="0"/>
          <w:i w:val="0"/>
          <w:color w:val="221F1F"/>
          <w:sz w:val="20"/>
        </w:rPr>
        <w:t>the Board of Directors for life.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310" w:after="248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first Committee of Management shall consist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Committee of Management holding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day immediately preceding the date of commernement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 to do,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acts, matters and things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74" w:lineRule="auto" w:before="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 as are necessary or desirable for the promotion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furtherance of all and any object of the Corporation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of them, including the powers to open, operate or close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accounts, to borrow or rais moneys with or without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security, to receive or collect or accapt grants and donations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its funds to the Corporation and to engage, employ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dismiss officers and servants required for the carrying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out of the objects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0" w:val="left"/>
          <w:tab w:pos="6496" w:val="left"/>
        </w:tabs>
        <w:autoSpaceDE w:val="0"/>
        <w:widowControl/>
        <w:spacing w:line="248" w:lineRule="exact" w:before="0" w:after="428"/>
        <w:ind w:left="287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Rathanatissa Peace Foundation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3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 General Meeting of the members and by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2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majority of not less than two-thirds of the members persent to </w:t>
      </w:r>
      <w:r>
        <w:rPr>
          <w:rFonts w:ascii="Times" w:hAnsi="Times" w:eastAsia="Times"/>
          <w:b w:val="0"/>
          <w:i w:val="0"/>
          <w:color w:val="221F1F"/>
          <w:sz w:val="20"/>
        </w:rPr>
        <w:t>make rules, not inconsistent with the provisions of this 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any other written law, on all or any of the following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matters:—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Classification of members, and the admission,</w:t>
            </w:r>
          </w:p>
        </w:tc>
      </w:tr>
    </w:tbl>
    <w:p>
      <w:pPr>
        <w:autoSpaceDN w:val="0"/>
        <w:autoSpaceDE w:val="0"/>
        <w:widowControl/>
        <w:spacing w:line="238" w:lineRule="auto" w:before="0" w:after="42"/>
        <w:ind w:left="0" w:right="27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expulsion, removal or withdrawal of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bearers, the resignation from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vacation of or removal from office of office bearers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their powers, conduct and duties;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the members of the Committees of</w:t>
            </w:r>
          </w:p>
        </w:tc>
      </w:tr>
    </w:tbl>
    <w:p>
      <w:pPr>
        <w:autoSpaceDN w:val="0"/>
        <w:autoSpaceDE w:val="0"/>
        <w:widowControl/>
        <w:spacing w:line="235" w:lineRule="auto" w:before="2" w:after="4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Management and its powers, conduct 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observed at and the summoning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holding of meetings of the Committee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4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or sub Committee and of the time,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placse, notices, and agenda of such meetings,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quorum thereof and the conduct of business thereof;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powers conduct, duties and functions of the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various officers, agents and servants of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4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86" w:after="42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administrations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Corporation;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Corporation,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accomplishment of its objects.</w:t>
            </w:r>
          </w:p>
        </w:tc>
      </w:tr>
    </w:tbl>
    <w:p>
      <w:pPr>
        <w:autoSpaceDN w:val="0"/>
        <w:autoSpaceDE w:val="0"/>
        <w:widowControl/>
        <w:spacing w:line="245" w:lineRule="auto" w:before="42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Corporation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subsection (1),</w:t>
      </w:r>
    </w:p>
    <w:p>
      <w:pPr>
        <w:autoSpaceDN w:val="0"/>
        <w:autoSpaceDE w:val="0"/>
        <w:widowControl/>
        <w:spacing w:line="238" w:lineRule="auto" w:before="84" w:after="2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Every member of the Corporation shall be subject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of the Corporation.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on the day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preseding the date of commencement of this act,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and discharge by the Corporation hereby constituted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Organization.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debts due to, subseriptions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Foundation on that day shall be paid to the Corporation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 the purposes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2" w:val="left"/>
          <w:tab w:pos="3466" w:val="left"/>
        </w:tabs>
        <w:autoSpaceDE w:val="0"/>
        <w:widowControl/>
        <w:spacing w:line="228" w:lineRule="exact" w:before="38" w:after="442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Rathanatissa Peace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6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 gifts,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bequest, donation, subscription, contribution, fees or grants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and on account of the corporation shall be deposited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credit of the Corporation in one or more banks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 shall determine.</w:t>
      </w:r>
    </w:p>
    <w:p>
      <w:pPr>
        <w:autoSpaceDN w:val="0"/>
        <w:autoSpaceDE w:val="0"/>
        <w:widowControl/>
        <w:spacing w:line="257" w:lineRule="auto" w:before="278" w:after="1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fund, all sums of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 in the exercise, performance and discharge of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powers, duties and functions under 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able and capable in law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any property, movable and immovable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any purchase,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grant, gift, testamentaty disposition or otherwise and all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immovable.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shall be held by the Corporation for the purposes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22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and subject to the rules in force for the time being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Corporation, with fill powers to sell, mortgage, lease, </w:t>
      </w:r>
      <w:r>
        <w:rPr>
          <w:rFonts w:ascii="Times" w:hAnsi="Times" w:eastAsia="Times"/>
          <w:b w:val="0"/>
          <w:i w:val="0"/>
          <w:color w:val="221F1F"/>
          <w:sz w:val="20"/>
        </w:rPr>
        <w:t>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dissolution.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2" w:after="218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Corporation, but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some other institution or institutions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similar to those of the Corporation and which,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or are by its or their rules prohibited  from distributing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income or property among their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year;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Corporation shall case proper accounts to be kept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its income and expenditure assets and liabilities and 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other transactions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0" w:val="left"/>
          <w:tab w:pos="6496" w:val="left"/>
        </w:tabs>
        <w:autoSpaceDE w:val="0"/>
        <w:widowControl/>
        <w:spacing w:line="248" w:lineRule="exact" w:before="0" w:after="0"/>
        <w:ind w:left="287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Rathanatissa Peace Foundation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7" w:lineRule="auto" w:before="502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by the Auditor General or a qualified auditor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Auditor General in terms of Article 154 of </w:t>
      </w:r>
      <w:r>
        <w:rPr>
          <w:rFonts w:ascii="Times" w:hAnsi="Times" w:eastAsia="Times"/>
          <w:b w:val="0"/>
          <w:i w:val="0"/>
          <w:color w:val="221F1F"/>
          <w:sz w:val="20"/>
        </w:rPr>
        <w:t>the Constitution.</w:t>
      </w:r>
    </w:p>
    <w:p>
      <w:pPr>
        <w:autoSpaceDN w:val="0"/>
        <w:tabs>
          <w:tab w:pos="2036" w:val="left"/>
        </w:tabs>
        <w:autoSpaceDE w:val="0"/>
        <w:widowControl/>
        <w:spacing w:line="238" w:lineRule="auto" w:before="282" w:after="0"/>
        <w:ind w:left="15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In this section “qualified auditor” means–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66" w:after="1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individule who, being a member of the Institute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Lanka,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 established by law, possesses a certificate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practice as an Accountant, issued by the Counil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Institute; or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Accountants, each of the resident partners of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54" w:lineRule="auto" w:before="10" w:after="222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which, being a member of the Instite of Chartered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Accountants of Sri Lanka, or any other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law, possesses a certificate to practice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an Accountant, issued by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6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 except in the presence of two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4" w:lineRule="auto" w:before="14" w:after="222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Corporation, who shall sign their names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in token of their presence and such signing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independent of the signing of any person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others.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the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1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5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Rathanatissa Peace Foundation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9172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