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23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7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62" w:lineRule="exact" w:before="20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 RATHANATISSA  PEACE  FOUNDATION</w:t>
      </w:r>
    </w:p>
    <w:p>
      <w:pPr>
        <w:autoSpaceDN w:val="0"/>
        <w:autoSpaceDE w:val="0"/>
        <w:widowControl/>
        <w:spacing w:line="288" w:lineRule="exact" w:before="0" w:after="0"/>
        <w:ind w:left="0" w:right="3398" w:firstLine="0"/>
        <w:jc w:val="right"/>
      </w:pPr>
      <w:r>
        <w:rPr>
          <w:rFonts w:ascii="Times" w:hAnsi="Times" w:eastAsia="Times"/>
          <w:b/>
          <w:i w:val="0"/>
          <w:color w:val="221F1F"/>
          <w:sz w:val="26"/>
        </w:rPr>
        <w:t>(INCORPORATION)</w:t>
      </w:r>
    </w:p>
    <w:p>
      <w:pPr>
        <w:autoSpaceDN w:val="0"/>
        <w:autoSpaceDE w:val="0"/>
        <w:widowControl/>
        <w:spacing w:line="332" w:lineRule="exact" w:before="582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4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22" w:lineRule="exact" w:before="256" w:after="0"/>
        <w:ind w:left="0" w:right="2548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incorporate the Rathanatissa Peace Foundation</w:t>
      </w:r>
    </w:p>
    <w:p>
      <w:pPr>
        <w:autoSpaceDN w:val="0"/>
        <w:autoSpaceDE w:val="0"/>
        <w:widowControl/>
        <w:spacing w:line="246" w:lineRule="exact" w:before="46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216" w:after="0"/>
        <w:ind w:left="20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</w:t>
      </w:r>
      <w:r>
        <w:rPr>
          <w:rFonts w:ascii="Times" w:hAnsi="Times" w:eastAsia="Times"/>
          <w:b w:val="0"/>
          <w:i/>
          <w:color w:val="221F1F"/>
          <w:sz w:val="20"/>
        </w:rPr>
        <w:t>Hon. U. K. Sumith Udukumbura,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M. P.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for</w:t>
      </w:r>
    </w:p>
    <w:p>
      <w:pPr>
        <w:autoSpaceDN w:val="0"/>
        <w:autoSpaceDE w:val="0"/>
        <w:widowControl/>
        <w:spacing w:line="244" w:lineRule="exact" w:before="0" w:after="0"/>
        <w:ind w:left="0" w:right="267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Kurunegala District </w:t>
      </w:r>
      <w:r>
        <w:rPr>
          <w:rFonts w:ascii="Times" w:hAnsi="Times" w:eastAsia="Times"/>
          <w:b w:val="0"/>
          <w:i/>
          <w:color w:val="221F1F"/>
          <w:sz w:val="20"/>
        </w:rPr>
        <w:t>on 20th of January, 2021</w:t>
      </w:r>
    </w:p>
    <w:p>
      <w:pPr>
        <w:autoSpaceDN w:val="0"/>
        <w:autoSpaceDE w:val="0"/>
        <w:widowControl/>
        <w:spacing w:line="266" w:lineRule="exact" w:before="216" w:after="0"/>
        <w:ind w:left="0" w:right="26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11, 2021)</w:t>
      </w:r>
    </w:p>
    <w:p>
      <w:pPr>
        <w:autoSpaceDN w:val="0"/>
        <w:autoSpaceDE w:val="0"/>
        <w:widowControl/>
        <w:spacing w:line="244" w:lineRule="exact" w:before="234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15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6" w:lineRule="exact" w:before="4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23]</w:t>
      </w:r>
    </w:p>
    <w:p>
      <w:pPr>
        <w:autoSpaceDN w:val="0"/>
        <w:autoSpaceDE w:val="0"/>
        <w:widowControl/>
        <w:spacing w:line="214" w:lineRule="exact" w:before="4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24" w:val="left"/>
        </w:tabs>
        <w:autoSpaceDE w:val="0"/>
        <w:widowControl/>
        <w:spacing w:line="276" w:lineRule="exact" w:before="5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0" w:after="0"/>
        <w:ind w:left="1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594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440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Rathanatissa Peace Foundation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1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398" w:after="166"/>
        <w:ind w:left="19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ATHANATISSA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EACE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a Foundation called and known as the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Preamble.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“Rathanatissa Peace Foundation” has heretofore been formed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 for the purpose of effectually carrying out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transacting all objects and matters connected with the said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according to the rules agreed to by the members: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WHEREAS the said foundation has heretofore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successfully carried out and transacted the several objects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matters for which it was formed and has applied to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incorporated, and it will be for the public advantage to grant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application: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8" w:lineRule="exact" w:before="160" w:after="16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2" w:val="left"/>
              </w:tabs>
              <w:autoSpaceDE w:val="0"/>
              <w:widowControl/>
              <w:spacing w:line="280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Rathanatissa Peace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(Incorporation) Act, No.   of 2021.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6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4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 and after the date of commencement of this Act,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Rathanatissa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Peace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Foundation.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“Rathanatissa Peace Foundation” (hereinafter referred to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“Foundation”) or shall hereafter be admitted as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hereby constituted, shall be a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with perpetual succession under the name and style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3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“Rathanatissa Peace Foundation” (hereinafter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“Corporation”) and by that name may sue and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sued and have full power and authority to have and use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common seal and alter the same at its pleasure.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2" w:val="left"/>
              </w:tabs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assistance to religious places;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assistance to pirivenas;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Rathanatissa Peace Foundation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1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organize leadership programmes;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in the development of educational,</w:t>
            </w:r>
          </w:p>
        </w:tc>
      </w:tr>
    </w:tbl>
    <w:p>
      <w:pPr>
        <w:autoSpaceDN w:val="0"/>
        <w:autoSpaceDE w:val="0"/>
        <w:widowControl/>
        <w:spacing w:line="266" w:lineRule="exact" w:before="4" w:after="21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religious, cultural, aesthetic and sports facilities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without any reference to race, religious or caste;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setting free of cattle destined for slaughter.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5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36" w:after="0"/>
              <w:ind w:left="0" w:right="16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of the corporation be administered by a Committee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consisting of Chairman, Secretary and Treasurer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elected in accordance with such rules.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202" w:after="2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founder member of the Foundation, Deshamanya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Ven. Eriyawe Rathanatissa Thero shall be the Chairman of </w:t>
      </w:r>
      <w:r>
        <w:rPr>
          <w:rFonts w:ascii="Times" w:hAnsi="Times" w:eastAsia="Times"/>
          <w:b w:val="0"/>
          <w:i w:val="0"/>
          <w:color w:val="221F1F"/>
          <w:sz w:val="20"/>
        </w:rPr>
        <w:t>the Board of Directors for life.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first Committee of Management shall consist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members of the Committee of Management holding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immediately preceding the date of commernement</w:t>
            </w:r>
          </w:p>
        </w:tc>
      </w:tr>
    </w:tbl>
    <w:p>
      <w:pPr>
        <w:autoSpaceDN w:val="0"/>
        <w:autoSpaceDE w:val="0"/>
        <w:widowControl/>
        <w:spacing w:line="268" w:lineRule="exact" w:before="0" w:after="20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whatsoever as are necessary or desirable for the promotion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4" w:after="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furtherance of all and any object of the Corporation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of them, including the powers to open, operate or close </w:t>
      </w:r>
      <w:r>
        <w:rPr>
          <w:rFonts w:ascii="Times" w:hAnsi="Times" w:eastAsia="Times"/>
          <w:b w:val="0"/>
          <w:i w:val="0"/>
          <w:color w:val="221F1F"/>
          <w:sz w:val="20"/>
        </w:rPr>
        <w:t>bank accounts, to borrow or rais moneys with or without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security, to receive or collect or accapt grants and donations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its funds to the Corporation and to engage, employ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dismiss officers and servants required for the carrying </w:t>
      </w:r>
      <w:r>
        <w:rPr>
          <w:rFonts w:ascii="Times" w:hAnsi="Times" w:eastAsia="Times"/>
          <w:b w:val="0"/>
          <w:i w:val="0"/>
          <w:color w:val="221F1F"/>
          <w:sz w:val="20"/>
        </w:rPr>
        <w:t>out of the objects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7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Rathanatissa Peace Foundation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668" w:val="left"/>
              </w:tabs>
              <w:autoSpaceDE w:val="0"/>
              <w:widowControl/>
              <w:spacing w:line="228" w:lineRule="exact" w:before="274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It shall be lawful for the Corporation, from time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time, at any  General Meeting of the members and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majority of not less than two-thirds of the members persent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rules, not inconsistent with the provisions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any other written law, on all or any of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matters:—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5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Classification of members, and the admission,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expulsion, removal or withdrawal of members;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7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2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election of office bearers, the resignation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vacation of or removal from office of office bearers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their powers, conduct and duties;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election of the members of the Committees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and its powers, conduct and duties;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1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procedure to be observed at and the summoning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holding of meetings of the Committee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Management or sub Committee and of the time,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placse, notices, and agenda of such meetings,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quorum thereof and the conduct of business thereof;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4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powers conduct, duties and functions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various officers, agents and servants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administrations and management of the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management of the affairs of the Corporation,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 objects.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exact" w:before="60" w:after="2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30" w:lineRule="exact" w:before="58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Every member of the Corporation shall be subject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Corporation.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7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Organization.</w:t>
            </w:r>
          </w:p>
        </w:tc>
      </w:tr>
      <w:tr>
        <w:trPr>
          <w:trHeight w:hRule="exact" w:val="1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668" w:val="left"/>
              </w:tabs>
              <w:autoSpaceDE w:val="0"/>
              <w:widowControl/>
              <w:spacing w:line="226" w:lineRule="exact" w:before="120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debts and liabilities of the Foundation on the day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preseding the date of commencement of this act,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paid and discharge by the Corporation hereby constituted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all debts due to, subseriptions and contributions payable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Foundation on that day shall be paid to the Corporation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3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Rathanatissa Peace Foundation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4" w:val="left"/>
              </w:tabs>
              <w:autoSpaceDE w:val="0"/>
              <w:widowControl/>
              <w:spacing w:line="280" w:lineRule="exact" w:before="23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gifts,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bequest, donation, subscription, contribution, fees or grants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and on account of the corporation shall be deposited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credit of the Corporation in one or more banks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shall determine.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There shall be paid out of the fund, all sums of money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are required to defray any expenditure incurred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in the exercise, performance and discharge of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powers, duties and functions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4" w:val="left"/>
              </w:tabs>
              <w:autoSpaceDE w:val="0"/>
              <w:widowControl/>
              <w:spacing w:line="280" w:lineRule="exact" w:before="11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 to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and immovable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gift, testamentaty disposition or otherwise and all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Corporation for the purposes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and subject to the rules in force for the time being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Corporation, with fill powers to sell, mortgage, lease,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exchange or otherwise dispose of the same.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Corporation, but shall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given or transferred to some other institution or institutions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objects similar to those of the Corporation and which,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are by its or their rules prohibited  from distributing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income or property among their members.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year;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case proper accounts to be kept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income and expenditure assets and liabilities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transactions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440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Rathanatissa Peace Foundation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54" w:lineRule="exact" w:before="418" w:after="18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General or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 General in terms of Article 154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1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In this section “qualified auditor” means–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3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5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individule who, being a member of the Institute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Lanka, or any other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established by law, possesses a certificate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practice as an Accountant, issued by the Counil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Institute;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Accountants, each of the resident partners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which, being a member of the Instite of Chartered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Accountants of Sri Lanka, or any other institute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by law, possesses a certificate to practice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an Accountant, issued by the Council of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0" w:after="0"/>
              <w:ind w:left="0" w:right="1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two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Corporation, who shall sign their names to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 in token of their presence and such signing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independent of the signing of any person as a witness.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3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6" w:after="0"/>
              <w:ind w:left="0" w:right="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others.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2" w:after="0"/>
              <w:ind w:left="0" w:right="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the Tamil texts of this Act, the Sinhala text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632"/>
        </w:trPr>
        <w:tc>
          <w:tcPr>
            <w:tcW w:type="dxa" w:w="9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3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432" w:right="216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Rathanatissa Peace Foundation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autoSpaceDE w:val="0"/>
        <w:widowControl/>
        <w:spacing w:line="150" w:lineRule="exact" w:before="58" w:after="0"/>
        <w:ind w:left="0" w:right="34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