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94" w:after="0"/>
        <w:ind w:left="0" w:right="30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12, 2021</w:t>
      </w:r>
    </w:p>
    <w:p>
      <w:pPr>
        <w:autoSpaceDN w:val="0"/>
        <w:autoSpaceDE w:val="0"/>
        <w:widowControl/>
        <w:spacing w:line="238" w:lineRule="auto" w:before="304" w:after="0"/>
        <w:ind w:left="0" w:right="36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 02.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3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98" w:after="0"/>
        <w:ind w:left="169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6"/>
        </w:rPr>
        <w:t>SATHYA  SRI  GHANAPATHI  BHAKTHI  JANA</w:t>
      </w:r>
    </w:p>
    <w:p>
      <w:pPr>
        <w:autoSpaceDN w:val="0"/>
        <w:autoSpaceDE w:val="0"/>
        <w:widowControl/>
        <w:spacing w:line="235" w:lineRule="auto" w:before="18" w:after="0"/>
        <w:ind w:left="198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SEWA  FOUNDATION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44" w:lineRule="exact" w:before="226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2" w:lineRule="exact" w:before="252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>Sathya Sri Ghanapathi Bhakthi Jana Sewa</w:t>
      </w:r>
    </w:p>
    <w:p>
      <w:pPr>
        <w:autoSpaceDN w:val="0"/>
        <w:autoSpaceDE w:val="0"/>
        <w:widowControl/>
        <w:spacing w:line="235" w:lineRule="auto" w:before="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Foundation</w:t>
      </w:r>
    </w:p>
    <w:p>
      <w:pPr>
        <w:autoSpaceDN w:val="0"/>
        <w:autoSpaceDE w:val="0"/>
        <w:widowControl/>
        <w:spacing w:line="238" w:lineRule="auto" w:before="366" w:after="0"/>
        <w:ind w:left="20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Tissa Attanayake, M.P.</w:t>
      </w:r>
    </w:p>
    <w:p>
      <w:pPr>
        <w:autoSpaceDN w:val="0"/>
        <w:autoSpaceDE w:val="0"/>
        <w:widowControl/>
        <w:spacing w:line="235" w:lineRule="auto" w:before="26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Sathya Sri Ghanapathi Bhakthi Jana Sewa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68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ATHYA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HANAPATHI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HAKTHI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society called and known as the “Sathya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Ghanapathi Bhakthi Jana Sewa Foundation”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established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objects and transacting all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said society according to the rules agreed to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society has heretofore successfully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established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it will be for the public advantage to grant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autoSpaceDN w:val="0"/>
        <w:autoSpaceDE w:val="0"/>
        <w:widowControl/>
        <w:spacing w:line="247" w:lineRule="auto" w:before="26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Sathya Sri Ghanapathi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Bhakthi Jana Sewa Foundation (Incorporation) Act, No.   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Sathya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“Sathya Sri Ghanapathi Bhakthi Jana Sewa Foundation”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Ghanapathi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Foundation”) or shall hereafter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Bhakthi Jana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admitted as mambers of the Corporation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Sewa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constituted, shall be, a body corporate with perpetual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under the name and style of the “Sathya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Ghanapathi Bhakthi Jana Sewa Foundation”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“the Corporation”) and by that name may 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sued with full power and authority to have, and use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common seal, and  to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Voluntary Social Service Organizations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  <w:tab w:pos="2928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6" w:after="17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reconstruct the Sathya Sri Jungle Ghanapathi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44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Temple and its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construct a God’s Altar for rituals;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construct a Pilgrims’ Rest and other infrastructure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 to provide free accommodation to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devotees;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4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vocational training to the unemployed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youths through the well-wishers attached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Temple and to direct them for employment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opportunities.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5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administration of the affairs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“Board”) consisting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 rules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8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the Foundation holding office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date of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function as the Board of the Corporation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Board is appointed or elected in the manner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by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  <w:tab w:pos="6494" w:val="left"/>
        </w:tabs>
        <w:autoSpaceDE w:val="0"/>
        <w:widowControl/>
        <w:spacing w:line="245" w:lineRule="auto" w:before="0" w:after="0"/>
        <w:ind w:left="243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Sathya Sri Ghanapathi Bhakthi Jana Sewa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Corporation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Corporation, elect or appoint a person to fill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Corporation shall have the power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do, perform and execute all such acts and matters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or desirable for the promotion or furtherance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of the Corporation or any one of them,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power—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Corporation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barrow or raise funds with or without securities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receive grants, gifts or donations in cash 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6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kind: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</w:p>
    <w:p>
      <w:pPr>
        <w:autoSpaceDN w:val="0"/>
        <w:autoSpaceDE w:val="0"/>
        <w:widowControl/>
        <w:spacing w:line="235" w:lineRule="auto" w:before="14" w:after="186"/>
        <w:ind w:left="0" w:right="373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the Board shall obtain the prior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of the Ministry of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sell, and issue bills of exchange, cheques,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maintain and close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Corporation, in such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Board may determine;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officers and servants of the Corporation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them and to pay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such salaries, allowances, and gratuities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determined by 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view to promoting the objectives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co-ordinate with other local and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having similar objects to that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train personnel in Sri Lanka or abroad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of the Corporation and by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not less than two-thirds of the members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voting, to make rules,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law, for all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  <w:tab w:pos="6494" w:val="left"/>
        </w:tabs>
        <w:autoSpaceDE w:val="0"/>
        <w:widowControl/>
        <w:spacing w:line="245" w:lineRule="auto" w:before="0" w:after="0"/>
        <w:ind w:left="243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Sathya Sri Ghanapathi Bhakthi Jana Sewa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office bearers for the Board,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vacation or removal of office bearers and the powers,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duties, and functions of the office bearers;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6" w:after="2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for the summoning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Board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ub-Board thereof, notices and agenda of 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Board and the Corporation;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the accomplishment of its objects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dissolution of the Corporation.</w:t>
      </w:r>
    </w:p>
    <w:p>
      <w:pPr>
        <w:autoSpaceDN w:val="0"/>
        <w:autoSpaceDE w:val="0"/>
        <w:widowControl/>
        <w:spacing w:line="254" w:lineRule="auto" w:before="2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times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  <w:tab w:pos="2928" w:val="left"/>
        </w:tabs>
        <w:autoSpaceDE w:val="0"/>
        <w:widowControl/>
        <w:spacing w:line="245" w:lineRule="auto" w:before="0" w:after="17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shall be inscribed.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account of the Corporation shall be deposited in one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banks approved by the Board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There shall be paid out of the Fund, all sums of money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are required to defray any expenditure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3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5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Corporation shall be audited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annually by the Auditor-General or a qualified auditor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by Auditor-General in terms of Article 154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34" w:after="1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Accountant, issued by</w:t>
            </w:r>
          </w:p>
        </w:tc>
      </w:tr>
      <w:tr>
        <w:trPr>
          <w:trHeight w:hRule="exact" w:val="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</w:tr>
      <w:tr>
        <w:trPr>
          <w:trHeight w:hRule="exact" w:val="2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 Sri Lanka or of any other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  <w:tab w:pos="6494" w:val="left"/>
        </w:tabs>
        <w:autoSpaceDE w:val="0"/>
        <w:widowControl/>
        <w:spacing w:line="245" w:lineRule="auto" w:before="0" w:after="194"/>
        <w:ind w:left="243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Sathya Sri Ghanapathi Bhakthi Jana Sewa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5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for each financial year and submit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together with the audited statement of accounts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Ministry of Buddha Sasana and Religious Affairs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 of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Voluntary Social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(Registration and Supervision) Act, No. 31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1980 before the expiration of six months of the year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1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47" w:lineRule="auto" w:before="218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monies received by the Corporation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of commencement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paid by the hereby constituted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contributions payable to the foundation on that day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the Corporation 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able and capable in law to take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any property, movable or immovable, which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gift,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otherwise, and all such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Corporation for the purpose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rules of the Corporation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7, with power to sell, mortgage, lease, exchange or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Corporation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  <w:tab w:pos="2928" w:val="left"/>
        </w:tabs>
        <w:autoSpaceDE w:val="0"/>
        <w:widowControl/>
        <w:spacing w:line="245" w:lineRule="auto" w:before="0" w:after="19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Corporation shall not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6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45" w:lineRule="auto" w:before="248" w:after="194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>an office bearer of the Board as may be decide by such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to those of the Corporation, and which is by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 prohibited from distributing any income or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among its members.</w:t>
      </w:r>
    </w:p>
    <w:p>
      <w:pPr>
        <w:autoSpaceDN w:val="0"/>
        <w:autoSpaceDE w:val="0"/>
        <w:widowControl/>
        <w:spacing w:line="247" w:lineRule="auto" w:before="24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Sathya Sri Ghanapathi Bhakthi Jana Sewa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3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