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5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70" w:after="0"/>
        <w:ind w:left="2016" w:right="1872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6"/>
        </w:rPr>
        <w:t xml:space="preserve">RUHUNU   AWAKENING  ORGANIZATION </w:t>
      </w:r>
      <w:r>
        <w:rPr>
          <w:rFonts w:ascii="Times,Bold" w:hAnsi="Times,Bold" w:eastAsia="Times,Bold"/>
          <w:b/>
          <w:i w:val="0"/>
          <w:color w:val="221F1F"/>
          <w:sz w:val="26"/>
        </w:rPr>
        <w:t>(INCORPORATION)</w:t>
      </w:r>
    </w:p>
    <w:p>
      <w:pPr>
        <w:autoSpaceDN w:val="0"/>
        <w:autoSpaceDE w:val="0"/>
        <w:widowControl/>
        <w:spacing w:line="238" w:lineRule="auto" w:before="184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6" w:lineRule="exact" w:before="260" w:after="0"/>
        <w:ind w:left="0" w:right="2422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to incorporate the 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Ruhunu Awakening Organization</w:t>
      </w:r>
    </w:p>
    <w:p>
      <w:pPr>
        <w:autoSpaceDN w:val="0"/>
        <w:autoSpaceDE w:val="0"/>
        <w:widowControl/>
        <w:spacing w:line="238" w:lineRule="auto" w:before="22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08" w:after="0"/>
        <w:ind w:left="2304" w:right="244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 Hon. Buddhika Pathirana, M. P.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Matara District on 24th of February, 2021</w:t>
      </w:r>
    </w:p>
    <w:p>
      <w:pPr>
        <w:autoSpaceDN w:val="0"/>
        <w:autoSpaceDE w:val="0"/>
        <w:widowControl/>
        <w:spacing w:line="235" w:lineRule="auto" w:before="254" w:after="0"/>
        <w:ind w:left="0" w:right="26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February 16, 2021)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9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1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32]</w:t>
      </w:r>
    </w:p>
    <w:p>
      <w:pPr>
        <w:autoSpaceDN w:val="0"/>
        <w:tabs>
          <w:tab w:pos="2412" w:val="left"/>
          <w:tab w:pos="2638" w:val="left"/>
          <w:tab w:pos="5984" w:val="left"/>
        </w:tabs>
        <w:autoSpaceDE w:val="0"/>
        <w:widowControl/>
        <w:spacing w:line="254" w:lineRule="auto" w:before="148" w:after="0"/>
        <w:ind w:left="1344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06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3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Ruhunu Awakening Organization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05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5" w:lineRule="auto" w:before="232" w:after="194"/>
        <w:ind w:left="188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UHUNU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WAKENING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RGANIZATION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WHEREAS an organization called and known as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“Ruhunu Awakening” Organization has heretofore been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Preamble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2" w:lineRule="auto" w:before="6" w:after="0"/>
        <w:ind w:left="151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created for the purpose of effectually carrying out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transacting all objects and matters connected  with the said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Organization according to the rules agreed to by its members:</w:t>
      </w:r>
    </w:p>
    <w:p>
      <w:pPr>
        <w:autoSpaceDN w:val="0"/>
        <w:tabs>
          <w:tab w:pos="1798" w:val="left"/>
        </w:tabs>
        <w:autoSpaceDE w:val="0"/>
        <w:widowControl/>
        <w:spacing w:line="252" w:lineRule="auto" w:before="234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Organization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 and has applied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incorporated and it will be for the public advantage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grant the application:</w:t>
      </w:r>
    </w:p>
    <w:p>
      <w:pPr>
        <w:autoSpaceDN w:val="0"/>
        <w:autoSpaceDE w:val="0"/>
        <w:widowControl/>
        <w:spacing w:line="245" w:lineRule="auto" w:before="234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Ruhunu Awakening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Organization (Incorporation) Act, No.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Ruhunu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“Ruhunu Awakening” Organization (hereinafter referred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Awakening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“Organization”) or shall hereafter be admitted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Organization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Corporation hereby constituted, shall be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 with perpetual succession, under the name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style of the “Ruhunu Awakening” Organization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the “Corporation”) and by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 may sue and be sued and shall have full power and </w:t>
      </w:r>
      <w:r>
        <w:rPr>
          <w:rFonts w:ascii="Times" w:hAnsi="Times" w:eastAsia="Times"/>
          <w:b w:val="0"/>
          <w:i w:val="0"/>
          <w:color w:val="221F1F"/>
          <w:sz w:val="20"/>
        </w:rPr>
        <w:t>authority to have and use a common seal and to alter the same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its pleasure.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tabs>
          <w:tab w:pos="2172" w:val="left"/>
          <w:tab w:pos="2518" w:val="left"/>
        </w:tabs>
        <w:autoSpaceDE w:val="0"/>
        <w:widowControl/>
        <w:spacing w:line="247" w:lineRule="auto" w:before="5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grant aid and support physically and qualitatively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relevant institutions in order to facilitate school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children and university students to carry out their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studies effectively;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3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Ruhunu Awakening Organization</w:t>
      </w:r>
    </w:p>
    <w:p>
      <w:pPr>
        <w:autoSpaceDN w:val="0"/>
        <w:autoSpaceDE w:val="0"/>
        <w:widowControl/>
        <w:spacing w:line="238" w:lineRule="auto" w:before="24" w:after="0"/>
        <w:ind w:left="0" w:right="415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5" w:lineRule="auto" w:before="234" w:after="4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to identify inborn talents of students and youths 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37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6" w:after="0"/>
              <w:ind w:left="0" w:right="3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5" w:lineRule="auto" w:before="1154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rural, district and provincial levels in the fields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sports, literary and arts and to inspire them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harness their inborn talents through the provision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required infrastructure facilities for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purpose;</w:t>
            </w:r>
          </w:p>
          <w:p>
            <w:pPr>
              <w:autoSpaceDN w:val="0"/>
              <w:autoSpaceDE w:val="0"/>
              <w:widowControl/>
              <w:spacing w:line="245" w:lineRule="auto" w:before="228" w:after="0"/>
              <w:ind w:left="602" w:right="1256" w:hanging="32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provide for displaying and evalating skills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school children and university students and to confer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awards and certificates to children with talents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 to promote their cultural skills;</w:t>
            </w:r>
          </w:p>
        </w:tc>
      </w:tr>
    </w:tbl>
    <w:p>
      <w:pPr>
        <w:autoSpaceDN w:val="0"/>
        <w:autoSpaceDE w:val="0"/>
        <w:widowControl/>
        <w:spacing w:line="245" w:lineRule="auto" w:before="140" w:after="168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implement special training programmes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will enable the creation of a young generation who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appreciate and practice values, norms and ethics;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17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1132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02" w:right="1256" w:hanging="32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implement practical programmes for promoting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physical capabilities of student population through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sanitation and health programmes and sports cum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physical exercise programmes;</w:t>
            </w:r>
          </w:p>
          <w:p>
            <w:pPr>
              <w:autoSpaceDN w:val="0"/>
              <w:autoSpaceDE w:val="0"/>
              <w:widowControl/>
              <w:spacing w:line="245" w:lineRule="auto" w:before="228" w:after="0"/>
              <w:ind w:left="602" w:right="1256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organize and operate educational tours,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shramadana campaigns and workshops in order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inculate feelings on Sri Lankan heritage,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environment, wildlife, population and patriotism;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5" w:lineRule="auto" w:before="168" w:after="168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provide assistance and to encourage forming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scouts groups and platoons in schools;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0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02" w:right="125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extend support to services rendered by senior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citizens organizations and to encourage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organizations;</w:t>
            </w:r>
          </w:p>
        </w:tc>
      </w:tr>
    </w:tbl>
    <w:p>
      <w:pPr>
        <w:autoSpaceDN w:val="0"/>
        <w:autoSpaceDE w:val="0"/>
        <w:widowControl/>
        <w:spacing w:line="245" w:lineRule="auto" w:before="168" w:after="168"/>
        <w:ind w:left="2422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encourage farmers engaged in traditional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export agricultural activities and to carry out various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awareness programmes for them;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4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82" w:right="1256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take action to provide required assistance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support and training to unemployed youths in 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enable them to engage in self employment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58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activites;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80" w:val="left"/>
          <w:tab w:pos="6494" w:val="left"/>
        </w:tabs>
        <w:autoSpaceDE w:val="0"/>
        <w:widowControl/>
        <w:spacing w:line="254" w:lineRule="auto" w:before="0" w:after="0"/>
        <w:ind w:left="2940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Awakening Organization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32" w:after="0"/>
        <w:ind w:left="2516" w:right="2422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work in collaboration with local and foreign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organizations with objectives similar to those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Corporation;</w:t>
      </w:r>
    </w:p>
    <w:p>
      <w:pPr>
        <w:autoSpaceDN w:val="0"/>
        <w:tabs>
          <w:tab w:pos="2216" w:val="left"/>
          <w:tab w:pos="2516" w:val="left"/>
        </w:tabs>
        <w:autoSpaceDE w:val="0"/>
        <w:widowControl/>
        <w:spacing w:line="247" w:lineRule="auto" w:before="254" w:after="0"/>
        <w:ind w:left="150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offer guidance for the conduct of academic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lectures, seminars, conferences relevant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intellectual development of the people and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organize exhibitions, educational and propaganda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activities for this purpose;</w:t>
      </w:r>
    </w:p>
    <w:p>
      <w:pPr>
        <w:autoSpaceDN w:val="0"/>
        <w:tabs>
          <w:tab w:pos="2142" w:val="left"/>
          <w:tab w:pos="2516" w:val="left"/>
        </w:tabs>
        <w:autoSpaceDE w:val="0"/>
        <w:widowControl/>
        <w:spacing w:line="245" w:lineRule="auto" w:before="254" w:after="194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do all such other acts, matters and things as are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incidental or conductive to the attainment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objectives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306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Corporation shall have the power to—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94" w:after="194"/>
        <w:ind w:left="21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open, operate and close bank accounts;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borrow or raise money with or without security and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0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receive or collect grants and donations;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 any funds of the Corporation which are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required for the purpose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 in a way that may be determined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Committee of Management;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purchase, acquire, give on lease or hire, sell or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47" w:lineRule="auto" w:before="8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obtain any movable or immovable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which may be required for the purpose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Corporation and which may lawfully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acquired for those purposes and to deal with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dispose of the same, as it may deem expedient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view to promoting the objects of the Corporation;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appoint, employ and dismiss the employees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required for the carrying out of the objects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Corporation and pay them such remuneration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determined by the Corporation;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36" w:val="left"/>
          <w:tab w:pos="3578" w:val="left"/>
        </w:tabs>
        <w:autoSpaceDE w:val="0"/>
        <w:widowControl/>
        <w:spacing w:line="254" w:lineRule="auto" w:before="0" w:after="0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Awakening Organization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062" w:val="left"/>
          <w:tab w:pos="2422" w:val="left"/>
        </w:tabs>
        <w:autoSpaceDE w:val="0"/>
        <w:widowControl/>
        <w:spacing w:line="259" w:lineRule="auto" w:before="238" w:after="0"/>
        <w:ind w:left="141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 into, perform or carry out, whether directly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through any officer or agent authorized in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by the Corporation, all such contracts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as may be necessary for the attainment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objects or the exercise of the powers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Corporation; and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9" w:lineRule="auto" w:before="276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 advisory councils, committees or sub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committees as and when necessary to carry out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of the Corporation as may be determined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Committee of Management:</w:t>
      </w:r>
    </w:p>
    <w:p>
      <w:pPr>
        <w:autoSpaceDN w:val="0"/>
        <w:autoSpaceDE w:val="0"/>
        <w:widowControl/>
        <w:spacing w:line="257" w:lineRule="auto" w:before="270" w:after="12"/>
        <w:ind w:left="2422" w:right="2516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 the Corporation shall obtain prior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approval of the Department of External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of the Ministry of the Minister assigned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subject of Finance in respect of all foreign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7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grants, gifts or donations.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management of the affairs of the Corporation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subject to the rules of the Corporation,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administered by Committee of Management consisting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more than six office bearers inclusive of the Chairman /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Managing Director, Secretary, Treasurer and such number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members as may be provided or in rules and elected in </w:t>
      </w:r>
      <w:r>
        <w:rPr>
          <w:rFonts w:ascii="Times" w:hAnsi="Times" w:eastAsia="Times"/>
          <w:b w:val="0"/>
          <w:i w:val="0"/>
          <w:color w:val="000000"/>
          <w:sz w:val="20"/>
        </w:rPr>
        <w:t>accordance therewith.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 act or proceeding of the Committee of Management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deemed to be invalid by reason only of the existence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vacancy among its members or any defect on the election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nomination of  a member thereof.</w:t>
      </w:r>
    </w:p>
    <w:p>
      <w:pPr>
        <w:autoSpaceDN w:val="0"/>
        <w:autoSpaceDE w:val="0"/>
        <w:widowControl/>
        <w:spacing w:line="254" w:lineRule="auto" w:before="276" w:after="1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first Committee of Management shall consist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members of the Committee of Management holding office </w:t>
      </w:r>
      <w:r>
        <w:rPr>
          <w:rFonts w:ascii="Times" w:hAnsi="Times" w:eastAsia="Times"/>
          <w:b w:val="0"/>
          <w:i w:val="0"/>
          <w:color w:val="000000"/>
          <w:sz w:val="20"/>
        </w:rPr>
        <w:t>on the day immediately preceding the date of commencement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this Act and shall continue to hold office until a new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 of Management is elected in accordance with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rules made under section 6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9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Awakening Organization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38" w:lineRule="auto" w:before="24" w:after="0"/>
        <w:ind w:left="0" w:right="405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038" w:val="left"/>
          <w:tab w:pos="2390" w:val="left"/>
          <w:tab w:pos="6718" w:val="left"/>
        </w:tabs>
        <w:autoSpaceDE w:val="0"/>
        <w:widowControl/>
        <w:spacing w:line="245" w:lineRule="auto" w:before="226" w:after="0"/>
        <w:ind w:left="1798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It shall be lawful for the Corporation, from time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Rules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time, at any general meeting by a majority of not less 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Corporation</w:t>
      </w:r>
    </w:p>
    <w:p>
      <w:pPr>
        <w:autoSpaceDN w:val="0"/>
        <w:tabs>
          <w:tab w:pos="1798" w:val="left"/>
        </w:tabs>
        <w:autoSpaceDE w:val="0"/>
        <w:widowControl/>
        <w:spacing w:line="245" w:lineRule="auto" w:before="6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two-thirds of the members present to make rules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inconsistent with the provisions of this Act,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written law, on all or any of the following matters:—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6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classification of members and the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withdrawal or expulsion of members;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45" w:lineRule="auto" w:before="24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of the office-bearers, the registration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from, vacation of or removal from office of office-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bearers and their powers, conduct and duties;</w:t>
      </w:r>
    </w:p>
    <w:p>
      <w:pPr>
        <w:autoSpaceDN w:val="0"/>
        <w:autoSpaceDE w:val="0"/>
        <w:widowControl/>
        <w:spacing w:line="245" w:lineRule="auto" w:before="236" w:after="180"/>
        <w:ind w:left="2518" w:right="242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of the members of the Committee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and its powers, duties and conduct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terms of office of members of the Committee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Management;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8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8" w:val="left"/>
              </w:tabs>
              <w:autoSpaceDE w:val="0"/>
              <w:widowControl/>
              <w:spacing w:line="245" w:lineRule="auto" w:before="60" w:after="0"/>
              <w:ind w:left="27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powers, duties, functions and conduct of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officers, agents and servants of the Corporation;</w:t>
            </w:r>
          </w:p>
        </w:tc>
      </w:tr>
    </w:tbl>
    <w:p>
      <w:pPr>
        <w:autoSpaceDN w:val="0"/>
        <w:tabs>
          <w:tab w:pos="2186" w:val="left"/>
          <w:tab w:pos="2518" w:val="left"/>
        </w:tabs>
        <w:autoSpaceDE w:val="0"/>
        <w:widowControl/>
        <w:spacing w:line="245" w:lineRule="auto" w:before="18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 to be observed at and the summoning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Committee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Management, the times, places, notices and agenda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meetings, the quorum thereof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conduct of business thereat;</w:t>
      </w:r>
    </w:p>
    <w:p>
      <w:pPr>
        <w:autoSpaceDN w:val="0"/>
        <w:autoSpaceDE w:val="0"/>
        <w:widowControl/>
        <w:spacing w:line="245" w:lineRule="auto" w:before="242" w:after="0"/>
        <w:ind w:left="2518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administration and management of the porperty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Corporation, the custody of its funds,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maintenance and audit of its accounts; and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47" w:lineRule="auto" w:before="23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management of the affairs of the Corporation,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 accomplishment of its objects.</w:t>
      </w:r>
    </w:p>
    <w:p>
      <w:pPr>
        <w:autoSpaceDN w:val="0"/>
        <w:autoSpaceDE w:val="0"/>
        <w:widowControl/>
        <w:spacing w:line="245" w:lineRule="auto" w:before="24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rule made by the Corporation may be amended,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altered, added or rescinded at a like meeting and in like </w:t>
      </w:r>
      <w:r>
        <w:rPr>
          <w:rFonts w:ascii="Times" w:hAnsi="Times" w:eastAsia="Times"/>
          <w:b w:val="0"/>
          <w:i w:val="0"/>
          <w:color w:val="000000"/>
          <w:sz w:val="20"/>
        </w:rPr>
        <w:t>manner as a rule made under subsection (1).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3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members of the Corporation shall be subject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rules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36" w:val="left"/>
          <w:tab w:pos="3578" w:val="left"/>
        </w:tabs>
        <w:autoSpaceDE w:val="0"/>
        <w:widowControl/>
        <w:spacing w:line="254" w:lineRule="auto" w:before="0" w:after="168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Awakening Organization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of the Committee of Management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Register of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keep and maintain a register containing the names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Members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of 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Act, the Corporation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able and capable in law to to acquire and hold 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property both movable and immovable, which may become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immovable,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vested in it by virtue of any purchase, gift, grant, testamentary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disposition or otherwise, and all such property shall be held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by the Corporation for the purpose of this Act and subject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7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rules of the Corporation made under section 6, with full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 to sell, mortgage, lease, exchange or otherwise dispose</w:t>
            </w:r>
          </w:p>
        </w:tc>
      </w:tr>
    </w:tbl>
    <w:p>
      <w:pPr>
        <w:autoSpaceDN w:val="0"/>
        <w:autoSpaceDE w:val="0"/>
        <w:widowControl/>
        <w:spacing w:line="238" w:lineRule="auto" w:before="4" w:after="19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 and 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heretofore or hereafter to be received by way of  gifts,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testamentary dispositions, grants, donations, contributions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fees on behalf of the Corporation shall be deposited to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credit of the Fund of the Corporation in one or more banks as </w:t>
      </w:r>
      <w:r>
        <w:rPr>
          <w:rFonts w:ascii="Times" w:hAnsi="Times" w:eastAsia="Times"/>
          <w:b w:val="0"/>
          <w:i w:val="0"/>
          <w:color w:val="221F1F"/>
          <w:sz w:val="20"/>
        </w:rPr>
        <w:t>the Committee of Management  may  determine.</w:t>
      </w:r>
    </w:p>
    <w:p>
      <w:pPr>
        <w:autoSpaceDN w:val="0"/>
        <w:autoSpaceDE w:val="0"/>
        <w:widowControl/>
        <w:spacing w:line="238" w:lineRule="auto" w:before="250" w:after="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Corporation may establish a depreciation fund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3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sinking fund for the purpose of rehabilitation, development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improvement of the property of the Corporation.</w:t>
            </w:r>
          </w:p>
        </w:tc>
      </w:tr>
    </w:tbl>
    <w:p>
      <w:pPr>
        <w:autoSpaceDN w:val="0"/>
        <w:autoSpaceDE w:val="0"/>
        <w:widowControl/>
        <w:spacing w:line="245" w:lineRule="auto" w:before="188" w:after="6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 shall be paid out of the Fund all sums of money </w:t>
      </w:r>
      <w:r>
        <w:rPr>
          <w:rFonts w:ascii="Times" w:hAnsi="Times" w:eastAsia="Times"/>
          <w:b w:val="0"/>
          <w:i w:val="0"/>
          <w:color w:val="000000"/>
          <w:sz w:val="20"/>
        </w:rPr>
        <w:t>to defray any expenditure incurred by the Corporation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exercise, performance and discharge of its powers, duties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functions under this Act.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45" w:lineRule="auto" w:before="188" w:after="19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financial year of the Corporation shall be the </w:t>
      </w:r>
      <w:r>
        <w:rPr>
          <w:rFonts w:ascii="Times" w:hAnsi="Times" w:eastAsia="Times"/>
          <w:b w:val="0"/>
          <w:i w:val="0"/>
          <w:color w:val="000000"/>
          <w:sz w:val="20"/>
        </w:rPr>
        <w:t>calender year.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of the Organization on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day preceding the date of commencement of this Act,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paid and discharged by the Corporation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Organization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 and all debts due to, subscriptions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contributions payable to the Organization on that day shall </w:t>
      </w:r>
      <w:r>
        <w:rPr>
          <w:rFonts w:ascii="Times" w:hAnsi="Times" w:eastAsia="Times"/>
          <w:b w:val="0"/>
          <w:i w:val="0"/>
          <w:color w:val="000000"/>
          <w:sz w:val="20"/>
        </w:rPr>
        <w:t>be paid to the Corporation for the purpose of the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80" w:val="left"/>
          <w:tab w:pos="6494" w:val="left"/>
        </w:tabs>
        <w:autoSpaceDE w:val="0"/>
        <w:widowControl/>
        <w:spacing w:line="254" w:lineRule="auto" w:before="0" w:after="180"/>
        <w:ind w:left="2940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Awakening Organization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member of the Corporation shall for purpose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Limitation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liability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  <w:tr>
        <w:trPr>
          <w:trHeight w:hRule="exact" w:val="516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0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discharging the debts and liabilities of the Corporation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for any other purpose, be liable to make any contribution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1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exceeding the amount due from such member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37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membership fees.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and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cause proper accounts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kept of its income and expenditure, assets and liabilities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all other transactions of the Corporation.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auto" w:before="282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accounts of the Corporation shall be audited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qualified auditor.</w:t>
      </w:r>
    </w:p>
    <w:p>
      <w:pPr>
        <w:autoSpaceDN w:val="0"/>
        <w:autoSpaceDE w:val="0"/>
        <w:widowControl/>
        <w:spacing w:line="238" w:lineRule="auto" w:before="276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In  this section, “qualified auditor” means —</w:t>
      </w:r>
    </w:p>
    <w:p>
      <w:pPr>
        <w:autoSpaceDN w:val="0"/>
        <w:tabs>
          <w:tab w:pos="2480" w:val="left"/>
          <w:tab w:pos="2876" w:val="left"/>
          <w:tab w:pos="2886" w:val="left"/>
        </w:tabs>
        <w:autoSpaceDE w:val="0"/>
        <w:widowControl/>
        <w:spacing w:line="259" w:lineRule="auto" w:before="282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who, being a member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of any other institute established by law,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Accountant, issued by  the Council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institute; or</w:t>
      </w:r>
    </w:p>
    <w:p>
      <w:pPr>
        <w:autoSpaceDN w:val="0"/>
        <w:tabs>
          <w:tab w:pos="2876" w:val="left"/>
          <w:tab w:pos="2886" w:val="left"/>
        </w:tabs>
        <w:autoSpaceDE w:val="0"/>
        <w:widowControl/>
        <w:spacing w:line="252" w:lineRule="auto" w:before="282" w:after="12"/>
        <w:ind w:left="248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 each of the resident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partners of which, being a member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6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Institute of Chartered Accountants of Sri Lanka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of any other institute established by law,</w:t>
            </w:r>
          </w:p>
        </w:tc>
      </w:tr>
    </w:tbl>
    <w:p>
      <w:pPr>
        <w:autoSpaceDN w:val="0"/>
        <w:autoSpaceDE w:val="0"/>
        <w:widowControl/>
        <w:spacing w:line="257" w:lineRule="auto" w:before="14" w:after="202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of practice as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Accountant, issued by the Council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seal of the Corporation shall not be affixed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instrument whatsoever except in the presence of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9" w:lineRule="auto" w:before="1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and the Secretary or two other members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as may be decided by the committee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who shall sign their names to the  instrument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token of their presence and such signing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independent of the signing of any person as a witness.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36" w:val="left"/>
          <w:tab w:pos="3578" w:val="left"/>
        </w:tabs>
        <w:autoSpaceDE w:val="0"/>
        <w:widowControl/>
        <w:spacing w:line="254" w:lineRule="auto" w:before="0" w:after="172"/>
        <w:ind w:left="1702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Ruhunu Awakening Organization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Corporation, there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remaining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49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remains any property whatsoever, after the satisfaction of 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debts and liabilities, such property shall not be distributed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8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among the members of the Corporation, but shall be given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transferred to some other institution having objects  similar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those of the Corporation, and which, is  or are by its rules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prohibited from distributing any income or property among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or their members. Such institution or institutions may be </w:t>
      </w:r>
      <w:r>
        <w:rPr>
          <w:rFonts w:ascii="Times" w:hAnsi="Times" w:eastAsia="Times"/>
          <w:b w:val="0"/>
          <w:i w:val="0"/>
          <w:color w:val="221F1F"/>
          <w:sz w:val="20"/>
        </w:rPr>
        <w:t>determined by the members of the Committee of Management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or before the dissolution of the Corporation.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 of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contained in this Act  shall prejudice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 body politic,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rights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Republic</w:t>
            </w:r>
          </w:p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or of any other person except such as are mentioned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others</w:t>
            </w:r>
          </w:p>
        </w:tc>
      </w:tr>
      <w:tr>
        <w:trPr>
          <w:trHeight w:hRule="exact" w:val="2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Act and those claiming by, from or under them.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4510"/>
        <w:gridCol w:w="4510"/>
      </w:tblGrid>
      <w:tr>
        <w:trPr>
          <w:trHeight w:hRule="exact" w:val="248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3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Ruhunu Awakening Organization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05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5" w:lineRule="auto" w:before="8652" w:after="0"/>
        <w:ind w:left="0" w:right="31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