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67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5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70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6"/>
        </w:rPr>
        <w:t xml:space="preserve">SRI BALABHIVURDHI WARDANA SAMITHIYA </w:t>
      </w:r>
      <w:r>
        <w:rPr>
          <w:rFonts w:ascii="Times,Bold" w:hAnsi="Times,Bold" w:eastAsia="Times,Bold"/>
          <w:b/>
          <w:i w:val="0"/>
          <w:color w:val="221F1F"/>
          <w:sz w:val="26"/>
        </w:rPr>
        <w:t>(INCORPORATION)</w:t>
      </w:r>
    </w:p>
    <w:p>
      <w:pPr>
        <w:autoSpaceDN w:val="0"/>
        <w:autoSpaceDE w:val="0"/>
        <w:widowControl/>
        <w:spacing w:line="238" w:lineRule="auto" w:before="184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76" w:lineRule="exact" w:before="260" w:after="0"/>
        <w:ind w:left="2138" w:right="0" w:firstLine="0"/>
        <w:jc w:val="left"/>
      </w:pPr>
      <w:r>
        <w:rPr>
          <w:rFonts w:ascii="TimesNewRoman,Bold" w:hAnsi="TimesNewRoman,Bold" w:eastAsia="TimesNewRoman,Bold"/>
          <w:b/>
          <w:i w:val="0"/>
          <w:color w:val="000000"/>
          <w:sz w:val="20"/>
        </w:rPr>
        <w:t xml:space="preserve">to incorporate the </w:t>
      </w:r>
      <w:r>
        <w:rPr>
          <w:rFonts w:ascii="TimesNewRoman,Bold" w:hAnsi="TimesNewRoman,Bold" w:eastAsia="TimesNewRoman,Bold"/>
          <w:b/>
          <w:i w:val="0"/>
          <w:color w:val="221F1F"/>
          <w:sz w:val="20"/>
        </w:rPr>
        <w:t>Sri Balabhivurdhi Wardana Samithiya</w:t>
      </w:r>
    </w:p>
    <w:p>
      <w:pPr>
        <w:autoSpaceDN w:val="0"/>
        <w:autoSpaceDE w:val="0"/>
        <w:widowControl/>
        <w:spacing w:line="238" w:lineRule="auto" w:before="22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08" w:after="0"/>
        <w:ind w:left="2304" w:right="244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 Hon. Buddhika Pathirana, M. P.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for Matara District on 24th of February, 2021</w:t>
      </w:r>
    </w:p>
    <w:p>
      <w:pPr>
        <w:autoSpaceDN w:val="0"/>
        <w:autoSpaceDE w:val="0"/>
        <w:widowControl/>
        <w:spacing w:line="235" w:lineRule="auto" w:before="254" w:after="0"/>
        <w:ind w:left="0" w:right="26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16,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298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14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31]</w:t>
      </w:r>
    </w:p>
    <w:p>
      <w:pPr>
        <w:autoSpaceDN w:val="0"/>
        <w:autoSpaceDE w:val="0"/>
        <w:widowControl/>
        <w:spacing w:line="235" w:lineRule="auto" w:before="14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  <w:r>
        <w:rPr>
          <w:rFonts w:ascii="Times" w:hAnsi="Times" w:eastAsia="Times"/>
          <w:b w:val="0"/>
          <w:i w:val="0"/>
          <w:color w:val="221F1F"/>
          <w:sz w:val="16"/>
        </w:rPr>
        <w:t>.</w:t>
      </w:r>
    </w:p>
    <w:p>
      <w:pPr>
        <w:autoSpaceDN w:val="0"/>
        <w:autoSpaceDE w:val="0"/>
        <w:widowControl/>
        <w:spacing w:line="235" w:lineRule="auto" w:before="12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5.</w:t>
      </w:r>
    </w:p>
    <w:p>
      <w:pPr>
        <w:autoSpaceDN w:val="0"/>
        <w:tabs>
          <w:tab w:pos="5924" w:val="left"/>
        </w:tabs>
        <w:autoSpaceDE w:val="0"/>
        <w:widowControl/>
        <w:spacing w:line="235" w:lineRule="auto" w:before="3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0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306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3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Balabhivurdhi Wardana Samithiya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" w:after="0"/>
              <w:ind w:left="3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24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INCORPORATE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221F1F"/>
          <w:sz w:val="14"/>
        </w:rPr>
        <w:t>ALABHIVURDHI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ARDANA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AMITHIYA</w:t>
      </w:r>
    </w:p>
    <w:p>
      <w:pPr>
        <w:autoSpaceDN w:val="0"/>
        <w:tabs>
          <w:tab w:pos="1798" w:val="left"/>
          <w:tab w:pos="6718" w:val="left"/>
        </w:tabs>
        <w:autoSpaceDE w:val="0"/>
        <w:widowControl/>
        <w:spacing w:line="245" w:lineRule="auto" w:before="240" w:after="0"/>
        <w:ind w:left="150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WHEREAS an Association called and known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Preamble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Sri Balabhivurdhi Wardana Samithiya has heretofore been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established at Walpola in Sri Lanka for the puropse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effectually carrying out its objects and transacting all matters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connected with the said Samithiya according to the rules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agreed to by its members:</w:t>
      </w:r>
    </w:p>
    <w:p>
      <w:pPr>
        <w:autoSpaceDN w:val="0"/>
        <w:tabs>
          <w:tab w:pos="1798" w:val="left"/>
        </w:tabs>
        <w:autoSpaceDE w:val="0"/>
        <w:widowControl/>
        <w:spacing w:line="245" w:lineRule="auto" w:before="24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WHEREAS the said Samithiya has heretofore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suecessfully carried out and transacted the several objects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matters for which it was established, and has applied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incorporated and it will be for the public advantage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grant the application:</w:t>
      </w:r>
    </w:p>
    <w:p>
      <w:pPr>
        <w:autoSpaceDN w:val="0"/>
        <w:autoSpaceDE w:val="0"/>
        <w:widowControl/>
        <w:spacing w:line="245" w:lineRule="auto" w:before="242" w:after="18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therefore enacted by the Parliament of the Democratic </w:t>
      </w:r>
      <w:r>
        <w:rPr>
          <w:rFonts w:ascii="Times" w:hAnsi="Times" w:eastAsia="Times"/>
          <w:b w:val="0"/>
          <w:i w:val="0"/>
          <w:color w:val="221F1F"/>
          <w:sz w:val="20"/>
        </w:rPr>
        <w:t>Socialist Republic of Sri Lanka as follows 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Sri Balabhivurdhi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  <w:tr>
        <w:trPr>
          <w:trHeight w:hRule="exact" w:val="20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Wardana Samithiya (Incorporation) Act, No.   of 2021.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Incorporation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 and after the date of commencement of this Act,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and so many persons as now are members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Sri</w:t>
            </w:r>
          </w:p>
        </w:tc>
      </w:tr>
      <w:tr>
        <w:trPr>
          <w:trHeight w:hRule="exact" w:val="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Balabhivurdhi</w:t>
            </w:r>
          </w:p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Balabhivurdhi Wardana Samithiya (hereinafter referred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Wardana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 “the Samithiya”) or shall hereafter be admitted members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Samithiya</w:t>
            </w:r>
          </w:p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hereby constituted, shall be a body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 (hereinafter referred to as “the Corporation”) with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perpetual succession under the name and style of “the Sri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Balabhivurdhi Wardana Samithiya”, and by that name may </w:t>
      </w:r>
      <w:r>
        <w:rPr>
          <w:rFonts w:ascii="Times" w:hAnsi="Times" w:eastAsia="Times"/>
          <w:b w:val="0"/>
          <w:i w:val="0"/>
          <w:color w:val="221F1F"/>
          <w:sz w:val="20"/>
        </w:rPr>
        <w:t>sue and be sued in all courts, with full power and authority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have, and use a common seal and alter the same at its pleasure.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7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general objects for which the Corporation is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constituted are hereby declared to be—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objects of the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establish, equip and maintain a pre-school and a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180"/>
        <w:ind w:left="0" w:right="58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library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engage in the dissemination of the Dhamma,</w:t>
            </w:r>
          </w:p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internationally 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3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Balabhivurdhi Wardana Samithiya</w:t>
      </w:r>
    </w:p>
    <w:p>
      <w:pPr>
        <w:autoSpaceDN w:val="0"/>
        <w:autoSpaceDE w:val="0"/>
        <w:widowControl/>
        <w:spacing w:line="235" w:lineRule="auto" w:before="2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54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preserve and disseminate the Buddhist</w:t>
      </w:r>
    </w:p>
    <w:p>
      <w:pPr>
        <w:autoSpaceDN w:val="0"/>
        <w:autoSpaceDE w:val="0"/>
        <w:widowControl/>
        <w:spacing w:line="235" w:lineRule="auto" w:before="2" w:after="158"/>
        <w:ind w:left="0" w:right="32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Philosophy and the Buddhist way of life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6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 friendly relations with other Buddhist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organizations in Sri Lanka and abroad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assist financially by granting scholarships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 the voluntary workers and others who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engaged in the attainment of the objects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established and maintain libraries, to subscribe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and issue books, journals, souvenirs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periodicals and to provide such other services as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deemed desirable for attaining the objects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collaborate or participate, with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institution or organisation, whether foreign or local,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5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having objects similar to those of the Corporation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sponsor and conduct conferences, seminars,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workshops, group studies and lectures in Sri Lanka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elsewhere in furtherance of the objects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print, publish and distribute books, journals,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leaflets, newspapers and magazines which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may consider desirable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promotion and advancement of its objects 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such other acts, deeds and things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necessary, incidental or conducive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accomplishment of all or any of the objects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3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management, control and administration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shall, subject to the rules of the Corporation,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 affairs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vest in a governing Council (hereinafter referred to as “the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Council”) consisting of such number of governors elected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among the members in accordance with the rules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0" w:val="left"/>
          <w:tab w:pos="6496" w:val="left"/>
        </w:tabs>
        <w:autoSpaceDE w:val="0"/>
        <w:widowControl/>
        <w:spacing w:line="248" w:lineRule="exact" w:before="0" w:after="0"/>
        <w:ind w:left="263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Balabhivurdhi Wardana Samithiya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45" w:lineRule="auto" w:before="244" w:after="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first Council of the Corporation shall be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governing council of the Corporation holding office on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day preceding the date of commencement of this Act, and </w:t>
      </w:r>
      <w:r>
        <w:rPr>
          <w:rFonts w:ascii="Times" w:hAnsi="Times" w:eastAsia="Times"/>
          <w:b w:val="0"/>
          <w:i w:val="0"/>
          <w:color w:val="221F1F"/>
          <w:sz w:val="20"/>
        </w:rPr>
        <w:t>consisting of the members whose names are specified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33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hereto.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Register of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shall cause to be kept a register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members in which every person who on the day preceding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date of commencement of this Act is a member of the </w:t>
      </w:r>
      <w:r>
        <w:rPr>
          <w:rFonts w:ascii="Times" w:hAnsi="Times" w:eastAsia="Times"/>
          <w:b w:val="0"/>
          <w:i w:val="0"/>
          <w:color w:val="221F1F"/>
          <w:sz w:val="20"/>
        </w:rPr>
        <w:t>Samithiya and every person thereafter duly admitted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of the Corporation, shall have his name inscribed.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Powers of the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Subject to the provisions of this Act, and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written law, the Corporation shall have the power—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acquire</w:t>
            </w:r>
          </w:p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purchase, acquire, rent, construct and otherwise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property,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 funds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obtain lands or buildings which may be required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take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purposes of the Corporation ;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loans &amp;etc</w:t>
            </w:r>
          </w:p>
        </w:tc>
      </w:tr>
      <w:tr>
        <w:trPr>
          <w:trHeight w:hRule="exact" w:val="34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borrow or raise money for the purposes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0"/>
        <w:ind w:left="0" w:right="54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Corporation 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0" w:after="2"/>
        <w:ind w:left="21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make, draw, accept, discount, endorse, negotiate,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buy, sell and issue bills of exchange, cheques,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promissory notes and other negotiable instruments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to open, operate, maintain and close bank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56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accounts 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0" w:after="2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invest any funds not immediately required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 purposes of the Corporation in such manner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Council may think fit ;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solicit and receive subscriptions, grants, donations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47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and gifts of all kinds ;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30" w:after="170"/>
        <w:ind w:left="215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enter into agreements or contracts with any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company or body of persons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undertake, accept, execute, perform and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administer any lawful trusts and conditions affecting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0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any real or personal property 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3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Sri Balabhivurdhi Wardana Samithiya</w:t>
      </w:r>
    </w:p>
    <w:p>
      <w:pPr>
        <w:autoSpaceDN w:val="0"/>
        <w:autoSpaceDE w:val="0"/>
        <w:widowControl/>
        <w:spacing w:line="235" w:lineRule="auto" w:before="2" w:after="0"/>
        <w:ind w:left="0" w:right="427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422" w:val="left"/>
        </w:tabs>
        <w:autoSpaceDE w:val="0"/>
        <w:widowControl/>
        <w:spacing w:line="235" w:lineRule="auto" w:before="254" w:after="0"/>
        <w:ind w:left="201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appoint, employ, dismiss or terminate the services</w:t>
      </w:r>
    </w:p>
    <w:p>
      <w:pPr>
        <w:autoSpaceDN w:val="0"/>
        <w:autoSpaceDE w:val="0"/>
        <w:widowControl/>
        <w:spacing w:line="235" w:lineRule="auto" w:before="2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officers and servants of the Corporation, and to</w:t>
      </w:r>
    </w:p>
    <w:p>
      <w:pPr>
        <w:autoSpaceDN w:val="0"/>
        <w:autoSpaceDE w:val="0"/>
        <w:widowControl/>
        <w:spacing w:line="238" w:lineRule="auto" w:before="0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pay them such salaries, allowances and gratuities as</w:t>
      </w:r>
    </w:p>
    <w:p>
      <w:pPr>
        <w:autoSpaceDN w:val="0"/>
        <w:autoSpaceDE w:val="0"/>
        <w:widowControl/>
        <w:spacing w:line="235" w:lineRule="auto" w:before="0" w:after="158"/>
        <w:ind w:left="0" w:right="335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may be determined by the Corporation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train personnel in Sri Lanka or abroad for the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Rules of the</w:t>
            </w:r>
          </w:p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of the Corporation 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1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do all other things necessary or expedient 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5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 and effective carrying out of the objects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It shall be lawful for the Corporation, from time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time, at any general meeting and by a majority of not less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than two thirds of the members present and voting, to make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rules, not inconsistent with the provisions of this Act,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other written law for all or any of the following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matters 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3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classification of membership, fees payable by each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class of member, their admission, withdrawal,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expulsion or resignation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election of the Council, or vocation of, or removal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office as office bearers and powers, duties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conduct of the Council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appointment, powers, duties, functions and conduct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various officers, agents and servants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observed at and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summoning and holding of meetings of the Council,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or any sub-committee, thereof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filling of vacancies, notices and agenda of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meetings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quilifications and disqualifications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member thereat ;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administration and management of the property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46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the Corporation 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560" w:val="left"/>
          <w:tab w:pos="6496" w:val="left"/>
        </w:tabs>
        <w:autoSpaceDE w:val="0"/>
        <w:widowControl/>
        <w:spacing w:line="248" w:lineRule="exact" w:before="0" w:after="0"/>
        <w:ind w:left="2630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Balabhivurdhi Wardana Samithiya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tabs>
          <w:tab w:pos="2516" w:val="left"/>
        </w:tabs>
        <w:autoSpaceDE w:val="0"/>
        <w:widowControl/>
        <w:spacing w:line="245" w:lineRule="auto" w:before="258" w:after="18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generally for the management of the affairs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and the accomplishment of its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The rules of the Foundation in force on the day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preceding the date of commencement of this Act shall, in so</w:t>
            </w:r>
          </w:p>
        </w:tc>
      </w:tr>
    </w:tbl>
    <w:p>
      <w:pPr>
        <w:autoSpaceDN w:val="0"/>
        <w:tabs>
          <w:tab w:pos="1796" w:val="left"/>
        </w:tabs>
        <w:autoSpaceDE w:val="0"/>
        <w:widowControl/>
        <w:spacing w:line="245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far as they are not inconsistant with this provisions of this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Act or other written law be deemed to be the rules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and may be amended, altered, added to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rescinded at a like meeting and in like manner as a rule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sub-section (1) of this section.</w:t>
      </w:r>
    </w:p>
    <w:p>
      <w:pPr>
        <w:autoSpaceDN w:val="0"/>
        <w:tabs>
          <w:tab w:pos="2036" w:val="left"/>
        </w:tabs>
        <w:autoSpaceDE w:val="0"/>
        <w:widowControl/>
        <w:spacing w:line="245" w:lineRule="auto" w:before="230" w:after="182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members of the Corporation shall be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>rules of the Corporation.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Corporation shall have its own fund and all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Fund of the</w:t>
            </w:r>
          </w:p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moneys received by way of gift, bequest, donation,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subscription, contribution fees or grants for and on account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Corporation shall be deposited to the credit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in one or more banks as the Council shall </w:t>
      </w:r>
      <w:r>
        <w:rPr>
          <w:rFonts w:ascii="Times" w:hAnsi="Times" w:eastAsia="Times"/>
          <w:b w:val="0"/>
          <w:i w:val="0"/>
          <w:color w:val="221F1F"/>
          <w:sz w:val="20"/>
        </w:rPr>
        <w:t>determine.</w:t>
      </w:r>
    </w:p>
    <w:p>
      <w:pPr>
        <w:autoSpaceDN w:val="0"/>
        <w:autoSpaceDE w:val="0"/>
        <w:widowControl/>
        <w:spacing w:line="238" w:lineRule="auto" w:before="240" w:after="4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(2) There shall be paid out of the fund all sums of money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defray any expenditure incurred by the Corporation in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exercise, performance and discharge of its powers, duties and</w:t>
            </w:r>
          </w:p>
        </w:tc>
      </w:tr>
    </w:tbl>
    <w:p>
      <w:pPr>
        <w:autoSpaceDN w:val="0"/>
        <w:autoSpaceDE w:val="0"/>
        <w:widowControl/>
        <w:spacing w:line="235" w:lineRule="auto" w:before="2" w:after="182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functions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Council shall cause proper accounts to be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Accounts and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kept of all the moneys received and expended by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Audits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Corporation.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036" w:val="left"/>
        </w:tabs>
        <w:autoSpaceDE w:val="0"/>
        <w:widowControl/>
        <w:spacing w:line="245" w:lineRule="auto" w:before="176" w:after="180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accounts of the Corporation shall be examined </w:t>
      </w:r>
      <w:r>
        <w:rPr>
          <w:rFonts w:ascii="Times" w:hAnsi="Times" w:eastAsia="Times"/>
          <w:b w:val="0"/>
          <w:i w:val="0"/>
          <w:color w:val="221F1F"/>
          <w:sz w:val="20"/>
        </w:rPr>
        <w:t>and audited at least once in every year.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All debts and liabilities of the Samithiya existing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Debts due by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on the day preceding the date of commencement of this Act,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payable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paid and discharged by the Corporation and all debts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Samithiya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due to and subscriptions and contributions payable to,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Samithiya on that day shall be paid to the Corporation for </w:t>
      </w:r>
      <w:r>
        <w:rPr>
          <w:rFonts w:ascii="Times" w:hAnsi="Times" w:eastAsia="Times"/>
          <w:b w:val="0"/>
          <w:i w:val="0"/>
          <w:color w:val="221F1F"/>
          <w:sz w:val="20"/>
        </w:rPr>
        <w:t>the purposes of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36" w:val="left"/>
          <w:tab w:pos="3466" w:val="left"/>
        </w:tabs>
        <w:autoSpaceDE w:val="0"/>
        <w:widowControl/>
        <w:spacing w:line="228" w:lineRule="exact" w:before="38" w:after="206"/>
        <w:ind w:left="1702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Balabhivurdhi Wardana Samithiya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6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Corporation shall be able and capable in law 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acquire and hold any property, movable or immovable, upon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may hold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by virtue of any instrument of purchase, grant, gift or lease,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movable and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upon or by virtue of any testamentary disposition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immovable</w:t>
            </w:r>
          </w:p>
        </w:tc>
      </w:tr>
      <w:tr>
        <w:trPr>
          <w:trHeight w:hRule="exact" w:val="278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otherwise, and all such property shall be held by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14" w:after="0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Corporation for the purposes of this Act and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rules for the time being of the Corporation, or otherwise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purposes of and upon the trusts in and subject to the </w:t>
      </w:r>
      <w:r>
        <w:rPr>
          <w:rFonts w:ascii="Times" w:hAnsi="Times" w:eastAsia="Times"/>
          <w:b w:val="0"/>
          <w:i w:val="0"/>
          <w:color w:val="221F1F"/>
          <w:sz w:val="20"/>
        </w:rPr>
        <w:t>conditions in the relative instrument of disposition with full</w:t>
      </w:r>
    </w:p>
    <w:p>
      <w:pPr>
        <w:autoSpaceDN w:val="0"/>
        <w:tabs>
          <w:tab w:pos="1702" w:val="left"/>
        </w:tabs>
        <w:autoSpaceDE w:val="0"/>
        <w:widowControl/>
        <w:spacing w:line="262" w:lineRule="auto" w:before="32" w:after="23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(subject always to the provisions of any written law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trusts and of the relative instrument or disposition)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sell, mortgage, lease, exchange or otherwise dispose of,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encumber or charge the same.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seal of the Corporation shall not be affixed to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Seal of the</w:t>
            </w:r>
          </w:p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instrument whatsoever except in the presence of 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Corporation</w:t>
            </w:r>
          </w:p>
        </w:tc>
      </w:tr>
    </w:tbl>
    <w:p>
      <w:pPr>
        <w:autoSpaceDN w:val="0"/>
        <w:autoSpaceDE w:val="0"/>
        <w:widowControl/>
        <w:spacing w:line="262" w:lineRule="auto" w:before="12" w:after="18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member of the Council and the secretary or such other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person duly authorised by the Council who shall sign their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names on the instrument in token of their presence, and such </w:t>
      </w:r>
      <w:r>
        <w:rPr>
          <w:rFonts w:ascii="Times" w:hAnsi="Times" w:eastAsia="Times"/>
          <w:b w:val="0"/>
          <w:i w:val="0"/>
          <w:color w:val="221F1F"/>
          <w:sz w:val="20"/>
        </w:rPr>
        <w:t>signing shall be independent of the signing of any person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witness.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Limitation of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member of the Corporation shall, for the purpose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discharging the debts and liabilities of the Corporation,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Liability of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members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any other purpose, be liable to make any contribution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exceeding the amount of such membership fees as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due from him to the Corporation.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Property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upon the dissolution of the Corporation there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remains after the satisfaction of all its debts and liabilities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remaining 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dissolution</w:t>
            </w:r>
          </w:p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property whatsoever, such property shall not be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4" w:lineRule="auto" w:before="1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distributed among the members of the Corporation, but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given or transferred to some other institution or institutions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having objects similar to those of the corporation, and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or are by the rules prohibited  from distributing any income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or property among its or their members.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96" w:val="left"/>
        </w:tabs>
        <w:autoSpaceDE w:val="0"/>
        <w:widowControl/>
        <w:spacing w:line="226" w:lineRule="exact" w:before="0" w:after="0"/>
        <w:ind w:left="263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Balabhivurdhi Wardana Samithiya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35" w:lineRule="auto" w:before="2" w:after="194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Nothing in this Act contained shall prejudice or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Saving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rights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Republic</w:t>
            </w:r>
          </w:p>
        </w:tc>
      </w:tr>
      <w:tr>
        <w:trPr>
          <w:trHeight w:hRule="exact" w:val="494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0" w:after="0"/>
              <w:ind w:left="9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affect the rights of the Republic, or any body politic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corporate, or of any other persons, except such as are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8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mentioned in this Act, and those claiming by, from or under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4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them.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16.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the Tamil texts of this Act, the Sinhala text shall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  <w:tr>
        <w:trPr>
          <w:trHeight w:hRule="exact" w:val="318"/>
        </w:trPr>
        <w:tc>
          <w:tcPr>
            <w:tcW w:type="dxa" w:w="1804"/>
            <w:vMerge/>
            <w:tcBorders/>
          </w:tcPr>
          <w:p/>
        </w:tc>
        <w:tc>
          <w:tcPr>
            <w:tcW w:type="dxa" w:w="3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0" w:right="3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6" w:after="0"/>
              <w:ind w:left="3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[Section—4. (2) ]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216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377" w:lineRule="auto" w:before="0" w:after="0"/>
        <w:ind w:left="1798" w:right="14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Board of Management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Chief Patron (Clergy)</w:t>
      </w:r>
    </w:p>
    <w:p>
      <w:pPr>
        <w:autoSpaceDN w:val="0"/>
        <w:autoSpaceDE w:val="0"/>
        <w:widowControl/>
        <w:spacing w:line="235" w:lineRule="auto" w:before="1204" w:after="0"/>
        <w:ind w:left="0" w:right="4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Chief Patron (Lay)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560" w:space="0"/>
            <w:col w:w="54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8" w:lineRule="auto" w:before="0" w:after="0"/>
        <w:ind w:left="70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 For the year (2002/2003)</w:t>
      </w:r>
    </w:p>
    <w:p>
      <w:pPr>
        <w:autoSpaceDN w:val="0"/>
        <w:autoSpaceDE w:val="0"/>
        <w:widowControl/>
        <w:spacing w:line="254" w:lineRule="auto" w:before="214" w:after="0"/>
        <w:ind w:left="15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Rev. Panditha Kalugala Soratha Thero,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Chief Priest of the Amarapura Ariyawansa </w:t>
      </w:r>
      <w:r>
        <w:rPr>
          <w:rFonts w:ascii="Times" w:hAnsi="Times" w:eastAsia="Times"/>
          <w:b w:val="0"/>
          <w:i w:val="0"/>
          <w:color w:val="221F1F"/>
          <w:sz w:val="16"/>
        </w:rPr>
        <w:t>Saddhamma Yuknika Maha Nikaya-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Chilaw Puttalam Divisions and Aluthkuru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Korale South, Incumbant of the Walpola </w:t>
      </w:r>
      <w:r>
        <w:rPr>
          <w:rFonts w:ascii="Times" w:hAnsi="Times" w:eastAsia="Times"/>
          <w:b w:val="0"/>
          <w:i w:val="0"/>
          <w:color w:val="221F1F"/>
          <w:sz w:val="16"/>
        </w:rPr>
        <w:t>Sri Wimalaratharnaramaya</w:t>
      </w:r>
    </w:p>
    <w:p>
      <w:pPr>
        <w:autoSpaceDN w:val="0"/>
        <w:tabs>
          <w:tab w:pos="318" w:val="left"/>
        </w:tabs>
        <w:autoSpaceDE w:val="0"/>
        <w:widowControl/>
        <w:spacing w:line="247" w:lineRule="auto" w:before="216" w:after="214"/>
        <w:ind w:left="15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Mr. G. D. Kulatilleke - Former District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Judge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560" w:space="0"/>
            <w:col w:w="54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714" w:val="left"/>
          <w:tab w:pos="3718" w:val="left"/>
          <w:tab w:pos="3878" w:val="left"/>
        </w:tabs>
        <w:autoSpaceDE w:val="0"/>
        <w:widowControl/>
        <w:spacing w:line="382" w:lineRule="auto" w:before="0" w:after="21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Chairman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Mr. P. R. Gamini Sirisena, B.S.C. J.P. -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(Whole Island)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Secretary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Mr. U. D. Jayantha Ranasinghe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Treasurer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Mr. Ananda Tissa Samarasinghe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560" w:space="0"/>
            <w:col w:w="54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35" w:lineRule="auto" w:before="0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Chief Organisers</w:t>
      </w:r>
    </w:p>
    <w:p>
      <w:pPr>
        <w:autoSpaceDN w:val="0"/>
        <w:autoSpaceDE w:val="0"/>
        <w:widowControl/>
        <w:spacing w:line="238" w:lineRule="auto" w:before="414" w:after="0"/>
        <w:ind w:left="0" w:right="2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Deputy Chairmen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244" w:space="0"/>
            <w:col w:w="5776" w:space="0"/>
            <w:col w:w="9020" w:space="0"/>
            <w:col w:w="3560" w:space="0"/>
            <w:col w:w="54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47" w:lineRule="auto" w:before="0" w:after="0"/>
        <w:ind w:left="218" w:right="3168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Mr. R. D. R. Wijesinghe J.P.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2. Mr. R. Premakumara Sirisena</w:t>
      </w:r>
    </w:p>
    <w:p>
      <w:pPr>
        <w:autoSpaceDN w:val="0"/>
        <w:autoSpaceDE w:val="0"/>
        <w:widowControl/>
        <w:spacing w:line="247" w:lineRule="auto" w:before="214" w:after="216"/>
        <w:ind w:left="218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Mr. Nimal Karunatilleke J.P.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2. Mr. Manjula Dayaratne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244" w:space="0"/>
            <w:col w:w="5776" w:space="0"/>
            <w:col w:w="9020" w:space="0"/>
            <w:col w:w="3560" w:space="0"/>
            <w:col w:w="54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tabs>
          <w:tab w:pos="3462" w:val="left"/>
        </w:tabs>
        <w:autoSpaceDE w:val="0"/>
        <w:widowControl/>
        <w:spacing w:line="235" w:lineRule="auto" w:before="0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Deputy Secretaries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1. Mr. P. C. Dayaratne</w:t>
      </w:r>
    </w:p>
    <w:p>
      <w:pPr>
        <w:autoSpaceDN w:val="0"/>
        <w:autoSpaceDE w:val="0"/>
        <w:widowControl/>
        <w:spacing w:line="238" w:lineRule="auto" w:before="18" w:after="214"/>
        <w:ind w:left="0" w:right="30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2. Mr. Neal Samantha Karunaratne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244" w:space="0"/>
            <w:col w:w="5776" w:space="0"/>
            <w:col w:w="9020" w:space="0"/>
            <w:col w:w="3560" w:space="0"/>
            <w:col w:w="54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377" w:lineRule="auto" w:before="0" w:after="0"/>
        <w:ind w:left="1728" w:right="14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Deputy Treasurer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Deputy Organisers</w:t>
      </w:r>
    </w:p>
    <w:p>
      <w:pPr>
        <w:sectPr>
          <w:type w:val="continuous"/>
          <w:pgSz w:w="11900" w:h="16840"/>
          <w:pgMar w:top="1440" w:right="1440" w:bottom="1440" w:left="1440" w:header="720" w:footer="720" w:gutter="0"/>
          <w:cols w:space="720" w:num="2" w:equalWidth="0">
            <w:col w:w="3274" w:space="0"/>
            <w:col w:w="5746" w:space="0"/>
            <w:col w:w="9020" w:space="0"/>
            <w:col w:w="3244" w:space="0"/>
            <w:col w:w="5776" w:space="0"/>
            <w:col w:w="9020" w:space="0"/>
            <w:col w:w="3560" w:space="0"/>
            <w:col w:w="54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317" w:lineRule="auto" w:before="0" w:after="0"/>
        <w:ind w:left="188" w:right="2592" w:firstLine="256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Mr. Nalinda Ruwan Indika Gunaratne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1. Mr. H. D. Siriwimal Gunaratne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2. Mr. M. D. M. Jayatissa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3. Mr. R. D. Rohitha Sumanaratne</w:t>
      </w:r>
    </w:p>
    <w:p>
      <w:pPr>
        <w:sectPr>
          <w:type w:val="nextColumn"/>
          <w:pgSz w:w="11900" w:h="16840"/>
          <w:pgMar w:top="1440" w:right="1440" w:bottom="1440" w:left="1440" w:header="720" w:footer="720" w:gutter="0"/>
          <w:cols w:space="720" w:num="2" w:equalWidth="0">
            <w:col w:w="3274" w:space="0"/>
            <w:col w:w="5746" w:space="0"/>
            <w:col w:w="9020" w:space="0"/>
            <w:col w:w="3244" w:space="0"/>
            <w:col w:w="5776" w:space="0"/>
            <w:col w:w="9020" w:space="0"/>
            <w:col w:w="3560" w:space="0"/>
            <w:col w:w="54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2536" w:val="left"/>
          <w:tab w:pos="3466" w:val="left"/>
        </w:tabs>
        <w:autoSpaceDE w:val="0"/>
        <w:widowControl/>
        <w:spacing w:line="228" w:lineRule="exact" w:before="38" w:after="202"/>
        <w:ind w:left="1702" w:right="3312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Balabhivurdhi Wardana Samithiya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Auditor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Mr. A. V. Piyadasa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5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Ranamuka,</w:t>
            </w:r>
          </w:p>
        </w:tc>
      </w:tr>
      <w:tr>
        <w:trPr>
          <w:trHeight w:hRule="exact" w:val="312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Propaganda Officer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Mr. Palitha  Chandralal 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864" w:val="left"/>
          <w:tab w:pos="3368" w:val="left"/>
          <w:tab w:pos="3784" w:val="left"/>
        </w:tabs>
        <w:autoSpaceDE w:val="0"/>
        <w:widowControl/>
        <w:spacing w:line="254" w:lineRule="auto" w:before="10" w:after="0"/>
        <w:ind w:left="1702" w:right="360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Ayurvedic Physician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Propaganda Officers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(Media)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1. Mr. Anura Kulasuriya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2. Mr. Wasantha Ranaweera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3. Mr. Suran Chaturanga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4. Mr. Susantha Nihal</w:t>
      </w:r>
    </w:p>
    <w:p>
      <w:pPr>
        <w:autoSpaceDN w:val="0"/>
        <w:tabs>
          <w:tab w:pos="3622" w:val="left"/>
        </w:tabs>
        <w:autoSpaceDE w:val="0"/>
        <w:widowControl/>
        <w:spacing w:line="235" w:lineRule="auto" w:before="216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Inspector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Mr. R. D. K. Wimalasiri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3274" w:space="0"/>
            <w:col w:w="5746" w:space="0"/>
            <w:col w:w="9020" w:space="0"/>
            <w:col w:w="3244" w:space="0"/>
            <w:col w:w="5776" w:space="0"/>
            <w:col w:w="9020" w:space="0"/>
            <w:col w:w="3560" w:space="0"/>
            <w:col w:w="54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1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0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0" w:right="35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Balabhivurdhi Wardana Samithiya</w:t>
            </w:r>
          </w:p>
        </w:tc>
        <w:tc>
          <w:tcPr>
            <w:tcW w:type="dxa" w:w="16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376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418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(Incorporation)</w:t>
      </w:r>
    </w:p>
    <w:p>
      <w:pPr>
        <w:autoSpaceDN w:val="0"/>
        <w:autoSpaceDE w:val="0"/>
        <w:widowControl/>
        <w:spacing w:line="238" w:lineRule="auto" w:before="8812" w:after="0"/>
        <w:ind w:left="0" w:right="318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3274" w:space="0"/>
        <w:col w:w="5746" w:space="0"/>
        <w:col w:w="9020" w:space="0"/>
        <w:col w:w="3244" w:space="0"/>
        <w:col w:w="5776" w:space="0"/>
        <w:col w:w="9020" w:space="0"/>
        <w:col w:w="3560" w:space="0"/>
        <w:col w:w="546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