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218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8" w:lineRule="auto" w:before="294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60" w:after="0"/>
        <w:ind w:left="0" w:right="270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PUBLIC HEALTH EMERGENCY</w:t>
      </w:r>
    </w:p>
    <w:p>
      <w:pPr>
        <w:autoSpaceDN w:val="0"/>
        <w:autoSpaceDE w:val="0"/>
        <w:widowControl/>
        <w:spacing w:line="238" w:lineRule="auto" w:before="43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304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5" w:lineRule="auto" w:before="290" w:after="0"/>
        <w:ind w:left="1296" w:right="1296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Declaration of a State of Public Health Emergency; </w:t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provide for the Adoption of Special Measures in the Interests of Public Health; </w:t>
      </w:r>
      <w:r>
        <w:rPr>
          <w:rFonts w:ascii="Times,Bold" w:hAnsi="Times,Bold" w:eastAsia="Times,Bold"/>
          <w:b/>
          <w:i w:val="0"/>
          <w:color w:val="221F1F"/>
          <w:sz w:val="20"/>
        </w:rPr>
        <w:t>and to provide for matters connected therewith or incidental thereto</w:t>
      </w:r>
    </w:p>
    <w:p>
      <w:pPr>
        <w:autoSpaceDN w:val="0"/>
        <w:autoSpaceDE w:val="0"/>
        <w:widowControl/>
        <w:spacing w:line="238" w:lineRule="auto" w:before="21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234" w:after="0"/>
        <w:ind w:left="1872" w:right="1872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Hon. M. A. Sumanthiran, M. P. for Jaffna District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on 23rd of April, 2021</w:t>
      </w:r>
    </w:p>
    <w:p>
      <w:pPr>
        <w:autoSpaceDN w:val="0"/>
        <w:autoSpaceDE w:val="0"/>
        <w:widowControl/>
        <w:spacing w:line="235" w:lineRule="auto" w:before="254" w:after="0"/>
        <w:ind w:left="0" w:right="276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April 15, 2021)</w:t>
      </w:r>
    </w:p>
    <w:p>
      <w:pPr>
        <w:autoSpaceDN w:val="0"/>
        <w:autoSpaceDE w:val="0"/>
        <w:widowControl/>
        <w:spacing w:line="235" w:lineRule="auto" w:before="254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7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3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47]</w:t>
      </w:r>
    </w:p>
    <w:p>
      <w:pPr>
        <w:autoSpaceDN w:val="0"/>
        <w:autoSpaceDE w:val="0"/>
        <w:widowControl/>
        <w:spacing w:line="245" w:lineRule="auto" w:before="88" w:after="0"/>
        <w:ind w:left="2304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48" w:val="left"/>
        </w:tabs>
        <w:autoSpaceDE w:val="0"/>
        <w:widowControl/>
        <w:spacing w:line="235" w:lineRule="auto" w:before="88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23.00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56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560.0" w:type="dxa"/>
      </w:tblPr>
      <w:tblGrid>
        <w:gridCol w:w="4510"/>
        <w:gridCol w:w="4510"/>
      </w:tblGrid>
      <w:tr>
        <w:trPr>
          <w:trHeight w:hRule="exact" w:val="342"/>
        </w:trPr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" w:after="0"/>
              <w:ind w:left="0" w:right="11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45" w:lineRule="auto" w:before="416" w:after="0"/>
        <w:ind w:left="2038" w:right="2424" w:hanging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ECLARATION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TATE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UBLIC </w:t>
      </w:r>
      <w:r>
        <w:rPr>
          <w:rFonts w:ascii="Times" w:hAnsi="Times" w:eastAsia="Times"/>
          <w:b w:val="0"/>
          <w:i w:val="0"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221F1F"/>
          <w:sz w:val="14"/>
        </w:rPr>
        <w:t>MERGENCY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DOPTION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PECIAL </w:t>
      </w:r>
      <w:r>
        <w:rPr>
          <w:rFonts w:ascii="Times" w:hAnsi="Times" w:eastAsia="Times"/>
          <w:b w:val="0"/>
          <w:i w:val="0"/>
          <w:color w:val="221F1F"/>
          <w:sz w:val="20"/>
        </w:rPr>
        <w:t>M</w:t>
      </w:r>
      <w:r>
        <w:rPr>
          <w:rFonts w:ascii="Times" w:hAnsi="Times" w:eastAsia="Times"/>
          <w:b w:val="0"/>
          <w:i w:val="0"/>
          <w:color w:val="221F1F"/>
          <w:sz w:val="14"/>
        </w:rPr>
        <w:t>EASURES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221F1F"/>
          <w:sz w:val="14"/>
        </w:rPr>
        <w:t>NTERESTS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221F1F"/>
          <w:sz w:val="14"/>
        </w:rPr>
        <w:t>UBLIC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221F1F"/>
          <w:sz w:val="14"/>
        </w:rPr>
        <w:t>EALTH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AND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</w:p>
    <w:p>
      <w:pPr>
        <w:autoSpaceDN w:val="0"/>
        <w:autoSpaceDE w:val="0"/>
        <w:widowControl/>
        <w:spacing w:line="235" w:lineRule="auto" w:before="62" w:after="0"/>
        <w:ind w:left="20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</w:p>
    <w:p>
      <w:pPr>
        <w:autoSpaceDN w:val="0"/>
        <w:tabs>
          <w:tab w:pos="6718" w:val="left"/>
        </w:tabs>
        <w:autoSpaceDE w:val="0"/>
        <w:widowControl/>
        <w:spacing w:line="245" w:lineRule="auto" w:before="250" w:after="0"/>
        <w:ind w:left="179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Covid 19 pandemic has continued to spread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Preamble </w:t>
      </w:r>
      <w:r>
        <w:rPr>
          <w:rFonts w:ascii="Times" w:hAnsi="Times" w:eastAsia="Times"/>
          <w:b w:val="0"/>
          <w:i w:val="0"/>
          <w:color w:val="000000"/>
          <w:sz w:val="20"/>
        </w:rPr>
        <w:t>throughout the world:</w:t>
      </w:r>
    </w:p>
    <w:p>
      <w:pPr>
        <w:autoSpaceDN w:val="0"/>
        <w:autoSpaceDE w:val="0"/>
        <w:widowControl/>
        <w:spacing w:line="245" w:lineRule="auto" w:before="236" w:after="176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WHEREAS it is expedient to lawfully provide for </w:t>
      </w:r>
      <w:r>
        <w:rPr>
          <w:rFonts w:ascii="Times" w:hAnsi="Times" w:eastAsia="Times"/>
          <w:b w:val="0"/>
          <w:i w:val="0"/>
          <w:color w:val="000000"/>
          <w:sz w:val="20"/>
        </w:rPr>
        <w:t>measures to combit it and any other pandemics in the furure: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THEREFORE BE it enacted by the Parliament of the</w:t>
            </w:r>
          </w:p>
        </w:tc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Democratic Socialist Republic of Sri Lanka as follows:—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9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This Act may be cited as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Public Health Emergency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Act, No.    of 2021 and shall come into force on the date of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Certification in terms of Article 79 of the Constitution.</w:t>
      </w:r>
    </w:p>
    <w:p>
      <w:pPr>
        <w:autoSpaceDN w:val="0"/>
        <w:tabs>
          <w:tab w:pos="3898" w:val="left"/>
        </w:tabs>
        <w:autoSpaceDE w:val="0"/>
        <w:widowControl/>
        <w:spacing w:line="245" w:lineRule="auto" w:before="238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autoSpaceDE w:val="0"/>
        <w:widowControl/>
        <w:spacing w:line="235" w:lineRule="auto" w:before="230" w:after="176"/>
        <w:ind w:left="0" w:right="45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ENERAL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Wherer, in view of the existence or imminence of a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Declaration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 of public health emergency, Parliament is of the opinion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public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it is expedient so to do in the interests of public health,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health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upon the written advice of the Director General if Health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2" w:after="17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it may by Resolution by not less than two-thirds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whole number of Members (including those not present)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arisen and the provisions of Part II of this Act shall,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or on such date as may by specified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Resolution, come into operation throughout Sri Lanka 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part or parts of Sri Lanka as may be so specified.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10" w:after="0"/>
              <w:ind w:left="7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Remote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converning</w:t>
            </w:r>
          </w:p>
        </w:tc>
      </w:tr>
      <w:tr>
        <w:trPr>
          <w:trHeight w:hRule="exact" w:val="250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Parliament, the Cabiner of Ministers, courts,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4" w:after="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Public Health Emergency Council as hereinafter provided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5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for, and any other such bodies and institutions, may sit,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convene, and hole sessions through the use of</w:t>
            </w:r>
          </w:p>
        </w:tc>
      </w:tr>
    </w:tbl>
    <w:p>
      <w:pPr>
        <w:autoSpaceDN w:val="0"/>
        <w:autoSpaceDE w:val="0"/>
        <w:widowControl/>
        <w:spacing w:line="247" w:lineRule="auto" w:before="2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conemporaneous or near contemporaneous audio-visual </w:t>
      </w:r>
      <w:r>
        <w:rPr>
          <w:rFonts w:ascii="Times" w:hAnsi="Times" w:eastAsia="Times"/>
          <w:b w:val="0"/>
          <w:i w:val="0"/>
          <w:color w:val="000000"/>
          <w:sz w:val="20"/>
        </w:rPr>
        <w:t>linkage during the period of a public health emergency.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47" w:lineRule="auto" w:before="482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necessary technical, infrastructural and monetary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required for the purpose of such contemporaneous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near contemporaneous audio-visual linkage shall be made </w:t>
      </w:r>
      <w:r>
        <w:rPr>
          <w:rFonts w:ascii="Times" w:hAnsi="Times" w:eastAsia="Times"/>
          <w:b w:val="0"/>
          <w:i w:val="0"/>
          <w:color w:val="000000"/>
          <w:sz w:val="20"/>
        </w:rPr>
        <w:t>available to the relevant bodies and institutions.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4" w:after="194"/>
        <w:ind w:left="149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All minutes of such meetings held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recorded and stored in electronic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form and transcribed thereafter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ordinary rules applicable to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Notwithstanding anything to the contrary in any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Remote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law, during the period of a public health emergency,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services</w:t>
            </w:r>
          </w:p>
        </w:tc>
      </w:tr>
    </w:tbl>
    <w:p>
      <w:pPr>
        <w:autoSpaceDN w:val="0"/>
        <w:tabs>
          <w:tab w:pos="1702" w:val="left"/>
        </w:tabs>
        <w:autoSpaceDE w:val="0"/>
        <w:widowControl/>
        <w:spacing w:line="247" w:lineRule="auto" w:before="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to the extent that is reasonable, any person may access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public service, including the issuance or renewal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identity documentation, the issuance of birty, death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marriage certificates, the issuance of certificates of absence,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issuance or renewal of licenses, through remote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electronic means, whereby the person is not required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physically present for the purpose of receiving such service.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necessary technical, infrastructural and monetary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resources required for the purpose of such remote electronic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access shall be made available to the relevant bodies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 providing a public service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(1).</w:t>
      </w:r>
    </w:p>
    <w:p>
      <w:pPr>
        <w:autoSpaceDN w:val="0"/>
        <w:autoSpaceDE w:val="0"/>
        <w:widowControl/>
        <w:spacing w:line="235" w:lineRule="auto" w:before="254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autoSpaceDE w:val="0"/>
        <w:widowControl/>
        <w:spacing w:line="235" w:lineRule="auto" w:before="254" w:after="194"/>
        <w:ind w:left="0" w:right="358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TATE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UBLIC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EALTH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4"/>
        </w:rPr>
        <w:t>MERGENCY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Resolution adopted under section 2 of this Act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Specifying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specify the contagious disease that is the primary cause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contagious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disease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a state of public health emergency: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1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that where a contagious disease is incorrectly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identified in the Resolution adopted under section 2,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Parliament may amend the Resolution without prejudice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measures taken under Part II of this Act in pursuance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such Resolution.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5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38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92" w:after="0"/>
              <w:ind w:left="5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Public Health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Emergency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</w:tr>
      <w:tr>
        <w:trPr>
          <w:trHeight w:hRule="exact" w:val="48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a public health emergency has been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1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declared under section 2 of this Act, there shall be constituted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body called the Public Health Emergency Council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(hereinafter in this Act referred to as the “Council”).</w:t>
      </w:r>
    </w:p>
    <w:p>
      <w:pPr>
        <w:autoSpaceDN w:val="0"/>
        <w:tabs>
          <w:tab w:pos="1546" w:val="left"/>
          <w:tab w:pos="2038" w:val="left"/>
          <w:tab w:pos="2412" w:val="left"/>
          <w:tab w:pos="2426" w:val="left"/>
          <w:tab w:pos="2702" w:val="left"/>
          <w:tab w:pos="2758" w:val="left"/>
          <w:tab w:pos="2762" w:val="left"/>
          <w:tab w:pos="2808" w:val="left"/>
          <w:tab w:pos="2822" w:val="left"/>
          <w:tab w:pos="2868" w:val="left"/>
          <w:tab w:pos="2882" w:val="left"/>
          <w:tab w:pos="2928" w:val="left"/>
        </w:tabs>
        <w:autoSpaceDE w:val="0"/>
        <w:widowControl/>
        <w:spacing w:line="466" w:lineRule="auto" w:before="270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(2) The Council shall consist of—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President, who shall be the Chairman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the Prime Minister, who shall be the Vice-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Chairman of the Council;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Leader of the Opposition;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Minister in charge of the following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subjects:—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Health;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Social Welfare;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Environment;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(iv) Home Affairs;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Science and Techonology;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(vi) Defence;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Police;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(viii) Finance;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(ix) foregin Affairs;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(x) Education;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57" w:lineRule="auto" w:before="530" w:after="0"/>
        <w:ind w:left="3144" w:right="2516" w:hanging="41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(xi) Any other such Ministers in charge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subjects deemed relevant by Parliament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to the public health emergency declared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2 of this Act.</w:t>
      </w:r>
    </w:p>
    <w:p>
      <w:pPr>
        <w:autoSpaceDN w:val="0"/>
        <w:tabs>
          <w:tab w:pos="1962" w:val="left"/>
        </w:tabs>
        <w:autoSpaceDE w:val="0"/>
        <w:widowControl/>
        <w:spacing w:line="247" w:lineRule="auto" w:before="278" w:after="0"/>
        <w:ind w:left="14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 The Director General of Health Services;</w:t>
      </w:r>
    </w:p>
    <w:p>
      <w:pPr>
        <w:autoSpaceDN w:val="0"/>
        <w:autoSpaceDE w:val="0"/>
        <w:widowControl/>
        <w:spacing w:line="235" w:lineRule="auto" w:before="266" w:after="0"/>
        <w:ind w:left="199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>) the persons referred to in subsection (3).</w:t>
      </w:r>
    </w:p>
    <w:p>
      <w:pPr>
        <w:autoSpaceDN w:val="0"/>
        <w:tabs>
          <w:tab w:pos="1704" w:val="left"/>
          <w:tab w:pos="1944" w:val="left"/>
        </w:tabs>
        <w:autoSpaceDE w:val="0"/>
        <w:widowControl/>
        <w:spacing w:line="257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(3) The Speaker shall in consultation with the Leader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Opposition, nominate five persons from amongst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Opposition Members of Parliament to be members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Council.</w:t>
      </w:r>
    </w:p>
    <w:p>
      <w:pPr>
        <w:autoSpaceDN w:val="0"/>
        <w:tabs>
          <w:tab w:pos="1944" w:val="left"/>
        </w:tabs>
        <w:autoSpaceDE w:val="0"/>
        <w:widowControl/>
        <w:spacing w:line="250" w:lineRule="auto" w:before="278" w:after="0"/>
        <w:ind w:left="17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(4) The functions of the Council shall be to formulate </w:t>
      </w:r>
      <w:r>
        <w:rPr>
          <w:rFonts w:ascii="Times" w:hAnsi="Times" w:eastAsia="Times"/>
          <w:b w:val="0"/>
          <w:i w:val="0"/>
          <w:color w:val="221F1F"/>
          <w:sz w:val="20"/>
        </w:rPr>
        <w:t>and implement a national plan and program for—</w:t>
      </w:r>
    </w:p>
    <w:p>
      <w:pPr>
        <w:autoSpaceDN w:val="0"/>
        <w:tabs>
          <w:tab w:pos="2012" w:val="left"/>
          <w:tab w:pos="2304" w:val="left"/>
        </w:tabs>
        <w:autoSpaceDE w:val="0"/>
        <w:widowControl/>
        <w:spacing w:line="254" w:lineRule="auto" w:before="27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the effective use of resources for the detection and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containment of the contagious disease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under section 5 of this Act;</w:t>
      </w:r>
    </w:p>
    <w:p>
      <w:pPr>
        <w:autoSpaceDN w:val="0"/>
        <w:autoSpaceDE w:val="0"/>
        <w:widowControl/>
        <w:spacing w:line="257" w:lineRule="auto" w:before="276" w:after="0"/>
        <w:ind w:left="2304" w:right="2516" w:hanging="35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(ii) the enhancement of public awareness and training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help members of the public protect themselves from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said contagious disease specified under section </w:t>
      </w:r>
      <w:r>
        <w:rPr>
          <w:rFonts w:ascii="Times" w:hAnsi="Times" w:eastAsia="Times"/>
          <w:b w:val="0"/>
          <w:i w:val="0"/>
          <w:color w:val="221F1F"/>
          <w:sz w:val="20"/>
        </w:rPr>
        <w:t>5 of this Act;</w:t>
      </w:r>
    </w:p>
    <w:p>
      <w:pPr>
        <w:autoSpaceDN w:val="0"/>
        <w:tabs>
          <w:tab w:pos="1892" w:val="left"/>
          <w:tab w:pos="2304" w:val="left"/>
        </w:tabs>
        <w:autoSpaceDE w:val="0"/>
        <w:widowControl/>
        <w:spacing w:line="262" w:lineRule="auto" w:before="25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the uninterrupted supply of goods and services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specified in section 10 of this Act;</w:t>
      </w:r>
    </w:p>
    <w:p>
      <w:pPr>
        <w:autoSpaceDN w:val="0"/>
        <w:autoSpaceDE w:val="0"/>
        <w:widowControl/>
        <w:spacing w:line="254" w:lineRule="auto" w:before="278" w:after="0"/>
        <w:ind w:left="2302" w:right="2516" w:hanging="39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the provision of the goods and services specified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10 of this Act to persons unable to access </w:t>
      </w:r>
      <w:r>
        <w:rPr>
          <w:rFonts w:ascii="Times" w:hAnsi="Times" w:eastAsia="Times"/>
          <w:b w:val="0"/>
          <w:i w:val="0"/>
          <w:color w:val="221F1F"/>
          <w:sz w:val="20"/>
        </w:rPr>
        <w:t>such goods and services owing to destitution;</w:t>
      </w:r>
    </w:p>
    <w:p>
      <w:pPr>
        <w:autoSpaceDN w:val="0"/>
        <w:tabs>
          <w:tab w:pos="1970" w:val="left"/>
          <w:tab w:pos="2302" w:val="left"/>
        </w:tabs>
        <w:autoSpaceDE w:val="0"/>
        <w:widowControl/>
        <w:spacing w:line="257" w:lineRule="auto" w:before="272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(v) the adoption of all other  measures necessary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counter the contagious disease specified under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section 5 of this Act as may be decided by the Council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for such purposes.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45" w:lineRule="auto" w:before="520" w:after="0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The Council shall recommend to Parliament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allocation of all technical, infrastructral and monetary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resources as may be required to implement the national plan </w:t>
      </w:r>
      <w:r>
        <w:rPr>
          <w:rFonts w:ascii="Times" w:hAnsi="Times" w:eastAsia="Times"/>
          <w:b w:val="0"/>
          <w:i w:val="0"/>
          <w:color w:val="221F1F"/>
          <w:sz w:val="20"/>
        </w:rPr>
        <w:t>formulated under subsection (4).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48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(6) The Council may make rules to regulate the procedure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regard to the conduct of its meetings, and the transaction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business at such meetings.</w:t>
      </w:r>
    </w:p>
    <w:p>
      <w:pPr>
        <w:autoSpaceDN w:val="0"/>
        <w:tabs>
          <w:tab w:pos="2038" w:val="left"/>
        </w:tabs>
        <w:autoSpaceDE w:val="0"/>
        <w:widowControl/>
        <w:spacing w:line="245" w:lineRule="auto" w:before="250" w:after="188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(7) The quorum for any meeting of the Council shall be </w:t>
      </w:r>
      <w:r>
        <w:rPr>
          <w:rFonts w:ascii="Times" w:hAnsi="Times" w:eastAsia="Times"/>
          <w:b w:val="0"/>
          <w:i w:val="0"/>
          <w:color w:val="221F1F"/>
          <w:sz w:val="20"/>
        </w:rPr>
        <w:t>one-third of its total membership.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provisions of Part II of this Act have come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Period of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public health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into operation on any date by virtue of a Resolution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2, those provisions shall be in operation for a period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6" w:after="4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sixty days from that date, but without prejudice to the </w:t>
      </w:r>
      <w:r>
        <w:rPr>
          <w:rFonts w:ascii="Times" w:hAnsi="Times" w:eastAsia="Times"/>
          <w:b w:val="0"/>
          <w:i w:val="0"/>
          <w:color w:val="000000"/>
          <w:sz w:val="20"/>
        </w:rPr>
        <w:t>earlier revocation of the Resolution or the adoption of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further Resolution at or before the end of that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12" w:after="0"/>
              <w:ind w:left="78" w:right="576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End of public </w:t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 xml:space="preserve">health </w:t>
            </w:r>
            <w:r>
              <w:br/>
            </w: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emergency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When the period of a public health emergency comes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an end, any order, direction or decision under this Part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Act issued during and in pursuance to a state of public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health emergency shall cease to have effect with respect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time following the end of such period.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9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Temporary</w:t>
            </w:r>
          </w:p>
        </w:tc>
      </w:tr>
      <w:tr>
        <w:trPr>
          <w:trHeight w:hRule="exact" w:val="34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1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9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of Health Services, by Order published in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restriction of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fundamental</w:t>
            </w:r>
          </w:p>
        </w:tc>
      </w:tr>
      <w:tr>
        <w:trPr>
          <w:trHeight w:hRule="exact" w:val="14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and for a period not exceeding fourteen days,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16"/>
              </w:rPr>
              <w:t>rights</w:t>
            </w:r>
          </w:p>
        </w:tc>
      </w:tr>
      <w:tr>
        <w:trPr>
          <w:trHeight w:hRule="exact" w:val="3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probibit or restrict in a manner specified in such Order:—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public assemblies;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66" w:after="0"/>
        <w:ind w:left="204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religious worship, observance, practice, and teaching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public;</w:t>
      </w:r>
    </w:p>
    <w:p>
      <w:pPr>
        <w:autoSpaceDN w:val="0"/>
        <w:tabs>
          <w:tab w:pos="2396" w:val="left"/>
        </w:tabs>
        <w:autoSpaceDE w:val="0"/>
        <w:widowControl/>
        <w:spacing w:line="245" w:lineRule="auto" w:before="250" w:after="0"/>
        <w:ind w:left="20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engagement in an occupation not specified in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10 of this Act;</w:t>
      </w:r>
    </w:p>
    <w:p>
      <w:pPr>
        <w:autoSpaceDN w:val="0"/>
        <w:tabs>
          <w:tab w:pos="2042" w:val="left"/>
        </w:tabs>
        <w:autoSpaceDE w:val="0"/>
        <w:widowControl/>
        <w:spacing w:line="240" w:lineRule="auto" w:before="24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travel to and from places of dwelling;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autoSpaceDE w:val="0"/>
        <w:widowControl/>
        <w:spacing w:line="245" w:lineRule="auto" w:before="476" w:after="0"/>
        <w:ind w:left="2302" w:right="2516" w:hanging="3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being on any public road, railway, public park,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recreation  ground, the seashore, or in a public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restaurant, hotel, place of public entertainment, or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such public place,</w:t>
      </w:r>
    </w:p>
    <w:p>
      <w:pPr>
        <w:autoSpaceDN w:val="0"/>
        <w:tabs>
          <w:tab w:pos="1702" w:val="left"/>
        </w:tabs>
        <w:autoSpaceDE w:val="0"/>
        <w:widowControl/>
        <w:spacing w:line="245" w:lineRule="auto" w:before="234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under the authority of a written permit granted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designated person or authority as may be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Order.</w:t>
      </w:r>
    </w:p>
    <w:p>
      <w:pPr>
        <w:autoSpaceDN w:val="0"/>
        <w:tabs>
          <w:tab w:pos="1702" w:val="left"/>
          <w:tab w:pos="1946" w:val="left"/>
        </w:tabs>
        <w:autoSpaceDE w:val="0"/>
        <w:widowControl/>
        <w:spacing w:line="247" w:lineRule="auto" w:before="24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Order issued under subsection (1) shall forthwith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communicated to Parliament, which may by Resolution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such Order.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0" w:lineRule="auto" w:before="2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Parliament may, by Resolution, extend an Order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for a further period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and may by similar Resolutions thereafter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such Order for further periods not exceeding fourteen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p>
      <w:pPr>
        <w:autoSpaceDN w:val="0"/>
        <w:autoSpaceDE w:val="0"/>
        <w:widowControl/>
        <w:spacing w:line="247" w:lineRule="auto" w:before="248" w:after="0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Any person who without reasonable cause fails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an Order issued under subsection (1) shall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guilty of an offence, and shall be liable to be placed in </w:t>
      </w:r>
      <w:r>
        <w:rPr>
          <w:rFonts w:ascii="Times" w:hAnsi="Times" w:eastAsia="Times"/>
          <w:b w:val="0"/>
          <w:i w:val="0"/>
          <w:color w:val="000000"/>
          <w:sz w:val="20"/>
        </w:rPr>
        <w:t>quarantine in terms of section 13(1)(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of this Act.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48" w:after="192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Every person who commits an offence under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shall,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Magistrate, be liable to a fine not exceeding ten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9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9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 person engaged in a lawfull occupation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Essential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essential services relating to:—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</w:tr>
    </w:tbl>
    <w:p>
      <w:pPr>
        <w:autoSpaceDN w:val="0"/>
        <w:autoSpaceDE w:val="0"/>
        <w:widowControl/>
        <w:spacing w:line="238" w:lineRule="auto" w:before="192" w:after="0"/>
        <w:ind w:left="19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health care;</w:t>
      </w:r>
    </w:p>
    <w:p>
      <w:pPr>
        <w:autoSpaceDN w:val="0"/>
        <w:tabs>
          <w:tab w:pos="2322" w:val="left"/>
        </w:tabs>
        <w:autoSpaceDE w:val="0"/>
        <w:widowControl/>
        <w:spacing w:line="245" w:lineRule="auto" w:before="252" w:after="0"/>
        <w:ind w:left="19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provision of a public utility service, 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water, electricity, or sanitation;</w:t>
      </w:r>
    </w:p>
    <w:p>
      <w:pPr>
        <w:autoSpaceDN w:val="0"/>
        <w:tabs>
          <w:tab w:pos="1952" w:val="left"/>
          <w:tab w:pos="2322" w:val="left"/>
        </w:tabs>
        <w:autoSpaceDE w:val="0"/>
        <w:widowControl/>
        <w:spacing w:line="252" w:lineRule="auto" w:before="25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production, transport, and delivery of medicines,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healthcare technology and medical-surgical devices;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7</w:t>
      </w:r>
    </w:p>
    <w:p>
      <w:pPr>
        <w:autoSpaceDN w:val="0"/>
        <w:tabs>
          <w:tab w:pos="2416" w:val="left"/>
        </w:tabs>
        <w:autoSpaceDE w:val="0"/>
        <w:widowControl/>
        <w:spacing w:line="245" w:lineRule="auto" w:before="482" w:after="0"/>
        <w:ind w:left="20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production, transport and delivery of agricultural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food products;</w:t>
      </w:r>
    </w:p>
    <w:p>
      <w:pPr>
        <w:autoSpaceDN w:val="0"/>
        <w:autoSpaceDE w:val="0"/>
        <w:widowControl/>
        <w:spacing w:line="235" w:lineRule="auto" w:before="254" w:after="0"/>
        <w:ind w:left="204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Law enforcement and defence;</w:t>
      </w:r>
    </w:p>
    <w:p>
      <w:pPr>
        <w:autoSpaceDN w:val="0"/>
        <w:autoSpaceDE w:val="0"/>
        <w:widowControl/>
        <w:spacing w:line="235" w:lineRule="auto" w:before="254" w:after="0"/>
        <w:ind w:left="207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Any activity functional to the facing of the public</w:t>
      </w:r>
    </w:p>
    <w:p>
      <w:pPr>
        <w:autoSpaceDN w:val="0"/>
        <w:tabs>
          <w:tab w:pos="2416" w:val="left"/>
        </w:tabs>
        <w:autoSpaceDE w:val="0"/>
        <w:widowControl/>
        <w:spacing w:line="266" w:lineRule="auto" w:before="14" w:after="0"/>
        <w:ind w:left="157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 emergency,</w:t>
      </w:r>
    </w:p>
    <w:p>
      <w:pPr>
        <w:autoSpaceDN w:val="0"/>
        <w:autoSpaceDE w:val="0"/>
        <w:widowControl/>
        <w:spacing w:line="245" w:lineRule="auto" w:before="22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permitted to engage in such lawful occupation </w:t>
      </w:r>
      <w:r>
        <w:rPr>
          <w:rFonts w:ascii="Times" w:hAnsi="Times" w:eastAsia="Times"/>
          <w:b w:val="0"/>
          <w:i w:val="0"/>
          <w:color w:val="000000"/>
          <w:sz w:val="20"/>
        </w:rPr>
        <w:t>notwithstanding the provisions of this Act.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7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specified in section 6 of this Act may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to Parliament that monetary resources be made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purpose of maintaining any institution or undertaking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is in the business of providing goods or services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Health sector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Director General of Health Services, by Order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, and in the manner specified in such Order:—</w:t>
      </w:r>
    </w:p>
    <w:p>
      <w:pPr>
        <w:autoSpaceDN w:val="0"/>
        <w:autoSpaceDE w:val="0"/>
        <w:widowControl/>
        <w:spacing w:line="245" w:lineRule="auto" w:before="244" w:after="0"/>
        <w:ind w:left="2416" w:right="2422" w:hanging="38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require maintenance or construction of suitable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establishments for the purposes of quarantining </w:t>
      </w:r>
      <w:r>
        <w:rPr>
          <w:rFonts w:ascii="Times" w:hAnsi="Times" w:eastAsia="Times"/>
          <w:b w:val="0"/>
          <w:i w:val="0"/>
          <w:color w:val="000000"/>
          <w:sz w:val="20"/>
        </w:rPr>
        <w:t>persons;</w:t>
      </w:r>
    </w:p>
    <w:p>
      <w:pPr>
        <w:autoSpaceDN w:val="0"/>
        <w:autoSpaceDE w:val="0"/>
        <w:widowControl/>
        <w:spacing w:line="235" w:lineRule="auto" w:before="254" w:after="6"/>
        <w:ind w:left="203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requisition any premises, other than premises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3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3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the purposes of dwelling or for any 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occupation specified in section 10 of this Act, for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4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purposes of providing health care to persons,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use as a suitable establishment for quarantining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persons or things;</w:t>
      </w:r>
    </w:p>
    <w:p>
      <w:pPr>
        <w:autoSpaceDN w:val="0"/>
        <w:tabs>
          <w:tab w:pos="2046" w:val="left"/>
          <w:tab w:pos="2416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requisition any privately-owned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used for the purposes of providing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care to persons;</w:t>
      </w:r>
    </w:p>
    <w:p>
      <w:pPr>
        <w:autoSpaceDN w:val="0"/>
        <w:autoSpaceDE w:val="0"/>
        <w:widowControl/>
        <w:spacing w:line="245" w:lineRule="auto" w:before="254" w:after="0"/>
        <w:ind w:left="2416" w:right="2304" w:hanging="384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temporarily recruit workers to be deployed in </w:t>
      </w:r>
      <w:r>
        <w:rPr>
          <w:rFonts w:ascii="Times" w:hAnsi="Times" w:eastAsia="Times"/>
          <w:b w:val="0"/>
          <w:i w:val="0"/>
          <w:color w:val="000000"/>
          <w:sz w:val="20"/>
        </w:rPr>
        <w:t>hospitals and other premises used for the purposes</w:t>
      </w:r>
    </w:p>
    <w:p>
      <w:pPr>
        <w:autoSpaceDN w:val="0"/>
        <w:tabs>
          <w:tab w:pos="2416" w:val="left"/>
        </w:tabs>
        <w:autoSpaceDE w:val="0"/>
        <w:widowControl/>
        <w:spacing w:line="288" w:lineRule="auto" w:before="1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providing health care to persons: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tabs>
          <w:tab w:pos="2322" w:val="left"/>
          <w:tab w:pos="2524" w:val="left"/>
        </w:tabs>
        <w:autoSpaceDE w:val="0"/>
        <w:widowControl/>
        <w:spacing w:line="254" w:lineRule="auto" w:before="484" w:after="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such requisition or temporary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 shall have effect only for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and where such period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extend beyond the period of a public health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emergency.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suffering loss as a direct result of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requisition under subsection (1)(c) shall be entitled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compensation of such sum as may be duly determined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 to restore the premises to their condition or status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prior to such requisition.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4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Director General of Health Services or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authorised representative shall be permitted to enter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used for the purposes of providing health care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persons, or of any lawful occupation specified in section 10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this Act, or of quarantining persons, in order to inspect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premises.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64" w:after="206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Pursuant to an inspection conducted in terms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(3), any person may be required to submit himself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medical examination and for quarantining thereafter if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health inspector forms the reasonable opinion that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may be infected by the contagious disease specified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terms of section 5 of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8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may, on the written advice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Ports and</w:t>
            </w:r>
          </w:p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Director General of Health Services, by Order published in</w:t>
            </w:r>
          </w:p>
        </w:tc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Transport</w:t>
            </w:r>
          </w:p>
        </w:tc>
      </w:tr>
      <w:tr>
        <w:trPr>
          <w:trHeight w:hRule="exact" w:val="3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:—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96" w:after="0"/>
        <w:ind w:left="2302" w:right="2516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prohibit or restrict movement or transport of persons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 ports, airports and other points of entry for a </w:t>
      </w:r>
      <w:r>
        <w:rPr>
          <w:rFonts w:ascii="Times" w:hAnsi="Times" w:eastAsia="Times"/>
          <w:b w:val="0"/>
          <w:i w:val="0"/>
          <w:color w:val="000000"/>
          <w:sz w:val="20"/>
        </w:rPr>
        <w:t>period not exceeding fourteen days:</w:t>
      </w:r>
    </w:p>
    <w:p>
      <w:pPr>
        <w:autoSpaceDN w:val="0"/>
        <w:autoSpaceDE w:val="0"/>
        <w:widowControl/>
        <w:spacing w:line="235" w:lineRule="auto" w:before="266" w:after="1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Provided that such prohibition or restriction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not apply to the movement or transport of goods,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persons engaged in the business or occupation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transporting goods;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47" w:lineRule="auto" w:before="482" w:after="0"/>
        <w:ind w:left="23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impose duties on masters, pilots, train managers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persons on board conveyances and on owners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managers of ports, airports and other points of </w:t>
      </w:r>
      <w:r>
        <w:rPr>
          <w:rFonts w:ascii="Times" w:hAnsi="Times" w:eastAsia="Times"/>
          <w:b w:val="0"/>
          <w:i w:val="0"/>
          <w:color w:val="000000"/>
          <w:sz w:val="20"/>
        </w:rPr>
        <w:t>entry;</w:t>
      </w:r>
    </w:p>
    <w:p>
      <w:pPr>
        <w:autoSpaceDN w:val="0"/>
        <w:tabs>
          <w:tab w:pos="2066" w:val="left"/>
          <w:tab w:pos="2398" w:val="left"/>
        </w:tabs>
        <w:autoSpaceDE w:val="0"/>
        <w:widowControl/>
        <w:spacing w:line="247" w:lineRule="auto" w:before="254" w:after="0"/>
        <w:ind w:left="157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require persons at ports, airports and other points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entry to provide information or answer questions,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information or questions relating to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health.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5" w:lineRule="auto" w:before="25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Order issued under subsection (1) shall forthwith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communicated to Parliament, which may by 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revoke such Order.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47" w:lineRule="auto" w:before="254" w:after="194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Parliament may by Resolution extend an Order issued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for a further period not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and may by similar Resolutions thereafter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extend such Order for further periods not exceeding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days.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13.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Any designated person may, for the sole purpose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4" w:after="0"/>
              <w:ind w:left="7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quarantining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etc.</w:t>
            </w:r>
          </w:p>
        </w:tc>
      </w:tr>
      <w:tr>
        <w:trPr>
          <w:trHeight w:hRule="exact" w:val="252"/>
        </w:trPr>
        <w:tc>
          <w:tcPr>
            <w:tcW w:type="dxa" w:w="5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preventing the spread of a disease specified in a Resolution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adopted under section 2 of this Act, reasonably require:—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or thing be kept in isolation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quarantine in a suitable establishment;</w:t>
      </w:r>
    </w:p>
    <w:p>
      <w:pPr>
        <w:autoSpaceDN w:val="0"/>
        <w:autoSpaceDE w:val="0"/>
        <w:widowControl/>
        <w:spacing w:line="235" w:lineRule="auto" w:before="254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submit to medical examination;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54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removed to a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suitable establishment;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45" w:lineRule="auto" w:before="254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detained in a hospital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suitable establishment;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254" w:after="0"/>
        <w:ind w:left="20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person, thing, or premises be disinfected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decontaminated;</w:t>
      </w:r>
    </w:p>
    <w:p>
      <w:pPr>
        <w:autoSpaceDN w:val="0"/>
        <w:autoSpaceDE w:val="0"/>
        <w:widowControl/>
        <w:spacing w:line="235" w:lineRule="auto" w:before="254" w:after="0"/>
        <w:ind w:left="20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wear protective clothing;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062" w:val="left"/>
        </w:tabs>
        <w:autoSpaceDE w:val="0"/>
        <w:widowControl/>
        <w:spacing w:line="266" w:lineRule="exact" w:before="0" w:after="0"/>
        <w:ind w:left="1704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Public Health Emergency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494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provide information or answer 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about the person’s health or other circumstances;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2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person’s health be monitored and the results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reported;</w:t>
      </w:r>
    </w:p>
    <w:p>
      <w:pPr>
        <w:autoSpaceDN w:val="0"/>
        <w:tabs>
          <w:tab w:pos="2002" w:val="left"/>
          <w:tab w:pos="2302" w:val="left"/>
        </w:tabs>
        <w:autoSpaceDE w:val="0"/>
        <w:widowControl/>
        <w:spacing w:line="259" w:lineRule="auto" w:before="292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attend trainig or advice sessions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 to reduce the risk of infecting or contaminating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others;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2" w:after="0"/>
        <w:ind w:left="20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 a person be subject to restrictions on where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goes or with whom the person has contact;</w:t>
      </w:r>
    </w:p>
    <w:p>
      <w:pPr>
        <w:autoSpaceDN w:val="0"/>
        <w:tabs>
          <w:tab w:pos="1974" w:val="left"/>
        </w:tabs>
        <w:autoSpaceDE w:val="0"/>
        <w:widowControl/>
        <w:spacing w:line="242" w:lineRule="auto" w:before="292" w:after="0"/>
        <w:ind w:left="137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20"/>
        </w:rPr>
        <w:t>) that a person abstain from working or trading;</w:t>
      </w:r>
    </w:p>
    <w:p>
      <w:pPr>
        <w:autoSpaceDN w:val="0"/>
        <w:autoSpaceDE w:val="0"/>
        <w:widowControl/>
        <w:spacing w:line="235" w:lineRule="auto" w:before="288" w:after="0"/>
        <w:ind w:left="20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) that a thing be seized or retained;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294" w:after="0"/>
        <w:ind w:left="192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case of a dead body, that the body be buried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cremated;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7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any other case, that a thing be destroyed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disposed of;</w:t>
      </w:r>
    </w:p>
    <w:p>
      <w:pPr>
        <w:autoSpaceDN w:val="0"/>
        <w:autoSpaceDE w:val="0"/>
        <w:widowControl/>
        <w:spacing w:line="238" w:lineRule="auto" w:before="286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) that premises be closed;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29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that, in the case of a conveyance or movable structure,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conveyance or structure be detained;</w:t>
      </w:r>
    </w:p>
    <w:p>
      <w:pPr>
        <w:autoSpaceDN w:val="0"/>
        <w:tabs>
          <w:tab w:pos="1958" w:val="left"/>
          <w:tab w:pos="2302" w:val="left"/>
        </w:tabs>
        <w:autoSpaceDE w:val="0"/>
        <w:widowControl/>
        <w:spacing w:line="259" w:lineRule="auto" w:before="29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that, in the case of a building, conveyance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structure, the premises be destroyed.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8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Any person who without reasonable cause fails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a direction under subsection (1) shall be guilty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 offence, and shall, on conviction after summary trial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before a Magistrate, be liable to a fine not exceeding 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Thousand rupees.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11</w:t>
      </w:r>
    </w:p>
    <w:p>
      <w:pPr>
        <w:autoSpaceDN w:val="0"/>
        <w:autoSpaceDE w:val="0"/>
        <w:widowControl/>
        <w:spacing w:line="245" w:lineRule="auto" w:before="476" w:after="174"/>
        <w:ind w:left="179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Minister may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specify the minimum standards that suitable establishments,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the purposes of quarantining persons and things, </w:t>
      </w:r>
      <w:r>
        <w:rPr>
          <w:rFonts w:ascii="Times" w:hAnsi="Times" w:eastAsia="Times"/>
          <w:b w:val="0"/>
          <w:i w:val="0"/>
          <w:color w:val="000000"/>
          <w:sz w:val="20"/>
        </w:rPr>
        <w:t>must comply with.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in charge of the subject of Social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Special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Welfare shall, on the advice of the Council established under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assistance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1796" w:right="2304" w:firstLine="2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6 of this Act, and by Order published 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>provide that all reasonable measures be taken to ensure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0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provision, free of charge or for a nominal cost, of such goods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services specified in section 10 of this Act to persons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unable to access such services owing to destitution </w:t>
      </w:r>
      <w:r>
        <w:rPr>
          <w:rFonts w:ascii="Times" w:hAnsi="Times" w:eastAsia="Times"/>
          <w:b w:val="0"/>
          <w:i w:val="0"/>
          <w:color w:val="000000"/>
          <w:sz w:val="20"/>
        </w:rPr>
        <w:t>during the period of a public health emergency.</w:t>
      </w:r>
    </w:p>
    <w:p>
      <w:pPr>
        <w:autoSpaceDN w:val="0"/>
        <w:tabs>
          <w:tab w:pos="2036" w:val="left"/>
          <w:tab w:pos="2474" w:val="left"/>
        </w:tabs>
        <w:autoSpaceDE w:val="0"/>
        <w:widowControl/>
        <w:spacing w:line="245" w:lineRule="auto" w:before="240" w:after="182"/>
        <w:ind w:left="179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Minister shall present to the Council a weekly </w:t>
      </w:r>
      <w:r>
        <w:rPr>
          <w:rFonts w:ascii="Times" w:hAnsi="Times" w:eastAsia="Times"/>
          <w:b w:val="0"/>
          <w:i w:val="0"/>
          <w:color w:val="000000"/>
          <w:sz w:val="20"/>
        </w:rPr>
        <w:t>report of all provisions made under subsection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9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15.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Minister may by Order published in the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Educational</w:t>
            </w:r>
          </w:p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require the temporary closure of any educational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premises, and such direction shall remain valid for a period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provided that such period shall not </w:t>
      </w:r>
      <w:r>
        <w:rPr>
          <w:rFonts w:ascii="Times" w:hAnsi="Times" w:eastAsia="Times"/>
          <w:b w:val="0"/>
          <w:i w:val="0"/>
          <w:color w:val="000000"/>
          <w:sz w:val="20"/>
        </w:rPr>
        <w:t>extend beyond the period of a public health emergency.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responsible for the management or</w:t>
            </w:r>
          </w:p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6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 of any educational premises shall comply</w:t>
            </w:r>
          </w:p>
        </w:tc>
      </w:tr>
    </w:tbl>
    <w:p>
      <w:pPr>
        <w:autoSpaceDN w:val="0"/>
        <w:autoSpaceDE w:val="0"/>
        <w:widowControl/>
        <w:spacing w:line="245" w:lineRule="auto" w:before="4" w:after="182"/>
        <w:ind w:left="17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Order issued under subsection (1) and shall take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steps to ensure that persons do not attend such </w:t>
      </w:r>
      <w:r>
        <w:rPr>
          <w:rFonts w:ascii="Times" w:hAnsi="Times" w:eastAsia="Times"/>
          <w:b w:val="0"/>
          <w:i w:val="0"/>
          <w:color w:val="000000"/>
          <w:sz w:val="20"/>
        </w:rPr>
        <w:t>premises for the period specified in such Order.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1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Minister may by Order published in the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Gazette</w:t>
            </w:r>
          </w:p>
        </w:tc>
      </w:tr>
      <w:tr>
        <w:trPr>
          <w:trHeight w:hRule="exact" w:val="246"/>
        </w:trPr>
        <w:tc>
          <w:tcPr>
            <w:tcW w:type="dxa" w:w="3007"/>
            <w:vMerge/>
            <w:tcBorders/>
          </w:tcPr>
          <w:p/>
        </w:tc>
        <w:tc>
          <w:tcPr>
            <w:tcW w:type="dxa" w:w="6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 any school within the meaning of Educational Premises</w:t>
            </w:r>
          </w:p>
        </w:tc>
      </w:tr>
    </w:tbl>
    <w:p>
      <w:pPr>
        <w:autoSpaceDN w:val="0"/>
        <w:tabs>
          <w:tab w:pos="1798" w:val="left"/>
        </w:tabs>
        <w:autoSpaceDE w:val="0"/>
        <w:widowControl/>
        <w:spacing w:line="245" w:lineRule="auto" w:before="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provide lessons to students through contemporaneous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near contemporaneous audio-visual linkage during a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Order, and which period shall not extend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beyond the period of a public health emergency.</w:t>
      </w:r>
    </w:p>
    <w:p>
      <w:pPr>
        <w:autoSpaceDN w:val="0"/>
        <w:tabs>
          <w:tab w:pos="2038" w:val="left"/>
          <w:tab w:pos="2468" w:val="left"/>
        </w:tabs>
        <w:autoSpaceDE w:val="0"/>
        <w:widowControl/>
        <w:spacing w:line="245" w:lineRule="auto" w:before="234" w:after="0"/>
        <w:ind w:left="17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school specified in such Order under subsection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shall be provided with  necessary technical, infrastructural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monetary resources as may be required to comply with </w:t>
      </w:r>
      <w:r>
        <w:rPr>
          <w:rFonts w:ascii="Times" w:hAnsi="Times" w:eastAsia="Times"/>
          <w:b w:val="0"/>
          <w:i w:val="0"/>
          <w:color w:val="000000"/>
          <w:sz w:val="20"/>
        </w:rPr>
        <w:t>such Order.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2255"/>
        <w:gridCol w:w="2255"/>
        <w:gridCol w:w="2255"/>
        <w:gridCol w:w="2255"/>
      </w:tblGrid>
      <w:tr>
        <w:trPr>
          <w:trHeight w:hRule="exact" w:val="488"/>
        </w:trPr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12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16.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76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  <w:tc>
          <w:tcPr>
            <w:tcW w:type="dxa" w:w="1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Labour</w:t>
            </w:r>
          </w:p>
        </w:tc>
      </w:tr>
      <w:tr>
        <w:trPr>
          <w:trHeight w:hRule="exact" w:val="48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may by Resolution declare certain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industries and sector that employ large numbers of workers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‘protected  industries’ or ‘protected sectors’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 of receiving special monetary assistance solely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persons employed in such industries are retained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employment during the period of a public health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emergency.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17.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Order issued under this Act shall be made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Publishing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available to the public on the official website of Parliament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</w:t>
            </w:r>
          </w:p>
        </w:tc>
      </w:tr>
      <w:tr>
        <w:trPr>
          <w:trHeight w:hRule="exact" w:val="3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Department of Government Printers.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Disclosing</w:t>
            </w:r>
          </w:p>
        </w:tc>
      </w:tr>
      <w:tr>
        <w:trPr>
          <w:trHeight w:hRule="exact" w:val="335"/>
        </w:trPr>
        <w:tc>
          <w:tcPr>
            <w:tcW w:type="dxa" w:w="2255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18.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who maliciously disclose the identity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 person who is infected, or had been infected, or is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identity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 patient</w:t>
            </w:r>
          </w:p>
        </w:tc>
      </w:tr>
      <w:tr>
        <w:trPr>
          <w:trHeight w:hRule="exact" w:val="2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suspected of being infected with the contagious disease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45" w:lineRule="auto" w:before="4" w:after="18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under section 5 of this Act shall be guilty of an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offence, and shall, on conviction after summary trail before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Magistrate, be liable to a fine not exceeding Fifty Thousand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rupees.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19.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provisions of this Act shall have effect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 of</w:t>
            </w:r>
          </w:p>
        </w:tc>
      </w:tr>
      <w:tr>
        <w:trPr>
          <w:trHeight w:hRule="exact" w:val="227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anything to the contrary in any other written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 Act to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law, and accordingly in the event of any inconsistency or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prevail over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written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conflict between the provisions of this Act and such other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laws</w:t>
            </w:r>
          </w:p>
        </w:tc>
      </w:tr>
      <w:tr>
        <w:trPr>
          <w:trHeight w:hRule="exact" w:val="3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written law, the provisions of this Act shall 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2255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20.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requires-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autoSpaceDE w:val="0"/>
        <w:widowControl/>
        <w:spacing w:line="235" w:lineRule="auto" w:before="128" w:after="2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“designated person” means any law enforcement official,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4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other person specified by any Order issued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Act;</w:t>
            </w:r>
          </w:p>
        </w:tc>
      </w:tr>
    </w:tbl>
    <w:p>
      <w:pPr>
        <w:autoSpaceDN w:val="0"/>
        <w:autoSpaceDE w:val="0"/>
        <w:widowControl/>
        <w:spacing w:line="238" w:lineRule="auto" w:before="126" w:after="0"/>
        <w:ind w:left="194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“Educational premises” means–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188" w:after="4"/>
        <w:ind w:left="24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goverment school, assisted school,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unaided school within the meaning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6"/>
        </w:trPr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4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Education Ordinance, No. 31 of 1939;</w:t>
            </w:r>
          </w:p>
        </w:tc>
      </w:tr>
      <w:tr>
        <w:trPr>
          <w:trHeight w:hRule="exact" w:val="3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institution within the further education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sector, within the meaning of the Higher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Education Act, No. 20 of 1966;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26" w:lineRule="exact" w:before="0" w:after="0"/>
        <w:ind w:left="3156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Public Health Emergency </w:t>
      </w:r>
      <w:r>
        <w:tab/>
      </w:r>
      <w:r>
        <w:rPr>
          <w:rFonts w:ascii="TimesNewRoman" w:hAnsi="TimesNewRoman" w:eastAsia="TimesNewRoman"/>
          <w:b w:val="0"/>
          <w:i w:val="0"/>
          <w:color w:val="221F1F"/>
          <w:sz w:val="20"/>
        </w:rPr>
        <w:t>13</w:t>
      </w:r>
    </w:p>
    <w:p>
      <w:pPr>
        <w:autoSpaceDN w:val="0"/>
        <w:tabs>
          <w:tab w:pos="2996" w:val="left"/>
        </w:tabs>
        <w:autoSpaceDE w:val="0"/>
        <w:widowControl/>
        <w:spacing w:line="245" w:lineRule="auto" w:before="482" w:after="0"/>
        <w:ind w:left="260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provider of education or training within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the Teritary And Vocational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Education Act, No. 20 of 1990;</w:t>
      </w:r>
    </w:p>
    <w:p>
      <w:pPr>
        <w:autoSpaceDN w:val="0"/>
        <w:autoSpaceDE w:val="0"/>
        <w:widowControl/>
        <w:spacing w:line="235" w:lineRule="auto" w:before="254" w:after="6"/>
        <w:ind w:left="20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“suitable establishment” means any premises that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4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be reasonably repurposed for the provision of health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services to persons, or for any other purpose directly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relevant to the detection or containment of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contagious disease specified under section 5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Act.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0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21.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7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221F1F"/>
                <w:sz w:val="20"/>
              </w:rPr>
              <w:t>14</w:t>
            </w:r>
          </w:p>
        </w:tc>
        <w:tc>
          <w:tcPr>
            <w:tcW w:type="dxa" w:w="4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58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Public Health Emergency</w:t>
            </w:r>
          </w:p>
        </w:tc>
      </w:tr>
    </w:tbl>
    <w:p>
      <w:pPr>
        <w:autoSpaceDN w:val="0"/>
        <w:autoSpaceDE w:val="0"/>
        <w:widowControl/>
        <w:spacing w:line="238" w:lineRule="auto" w:before="9268" w:after="0"/>
        <w:ind w:left="0" w:right="329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