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3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162" w:after="0"/>
        <w:ind w:left="15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32"/>
        </w:rPr>
        <w:t>PARLIAMENT  OF  THE  DEMOCRATIC</w:t>
      </w:r>
    </w:p>
    <w:p>
      <w:pPr>
        <w:autoSpaceDN w:val="0"/>
        <w:autoSpaceDE w:val="0"/>
        <w:widowControl/>
        <w:spacing w:line="235" w:lineRule="auto" w:before="22" w:after="0"/>
        <w:ind w:left="0" w:right="25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2"/>
        </w:rPr>
        <w:t>SOCIALIST  REPUBLIC  OF</w:t>
      </w:r>
    </w:p>
    <w:p>
      <w:pPr>
        <w:autoSpaceDN w:val="0"/>
        <w:autoSpaceDE w:val="0"/>
        <w:widowControl/>
        <w:spacing w:line="235" w:lineRule="auto" w:before="22" w:after="0"/>
        <w:ind w:left="0" w:right="36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8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0" w:after="0"/>
        <w:ind w:left="1872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CORONAVIRUS DISEASE 2019 (COVID - 19) </w:t>
      </w:r>
      <w:r>
        <w:rPr>
          <w:rFonts w:ascii="Times,Bold" w:hAnsi="Times,Bold" w:eastAsia="Times,Bold"/>
          <w:b/>
          <w:i w:val="0"/>
          <w:color w:val="221F1F"/>
          <w:sz w:val="24"/>
        </w:rPr>
        <w:t>(TEMPORARY PROVISIONS)</w:t>
      </w:r>
    </w:p>
    <w:p>
      <w:pPr>
        <w:autoSpaceDN w:val="0"/>
        <w:autoSpaceDE w:val="0"/>
        <w:widowControl/>
        <w:spacing w:line="238" w:lineRule="auto" w:before="26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9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temporary provisions in relation to situations where persons were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unable to perform certain actions required by law to be performed within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prescribed time periods due to Covid - 19 circumstances; to assign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alternative courts where a court cannot function due to Covid - 19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circumstances; to conduct court proceedings using remote communication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technology to facilitate the control of coronavirus disease 2019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(Covid - 19); to grant relief in relation to parties to certain contracts who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were   unable   to   perform   contractual   obligations   due   to   Covid - 19 </w:t>
      </w:r>
      <w:r>
        <w:rPr>
          <w:rFonts w:ascii="Times,Bold" w:hAnsi="Times,Bold" w:eastAsia="Times,Bold"/>
          <w:b/>
          <w:i w:val="0"/>
          <w:color w:val="221F1F"/>
          <w:sz w:val="20"/>
        </w:rPr>
        <w:t>circumstances and for matters connected therewith or incidental thereto</w:t>
      </w:r>
    </w:p>
    <w:p>
      <w:pPr>
        <w:autoSpaceDN w:val="0"/>
        <w:autoSpaceDE w:val="0"/>
        <w:widowControl/>
        <w:spacing w:line="235" w:lineRule="auto" w:before="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64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08th of June, 2021</w:t>
      </w:r>
    </w:p>
    <w:p>
      <w:pPr>
        <w:autoSpaceDN w:val="0"/>
        <w:autoSpaceDE w:val="0"/>
        <w:widowControl/>
        <w:spacing w:line="238" w:lineRule="auto" w:before="12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20, 2021)</w:t>
      </w:r>
    </w:p>
    <w:p>
      <w:pPr>
        <w:autoSpaceDN w:val="0"/>
        <w:autoSpaceDE w:val="0"/>
        <w:widowControl/>
        <w:spacing w:line="238" w:lineRule="auto" w:before="120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4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51]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Coronavirus Disease 2019 (Covid - 19)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19/2020</w:t>
      </w:r>
    </w:p>
    <w:p>
      <w:pPr>
        <w:autoSpaceDN w:val="0"/>
        <w:autoSpaceDE w:val="0"/>
        <w:widowControl/>
        <w:spacing w:line="235" w:lineRule="auto" w:before="2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TEMPORARY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SITUATIONS</w:t>
      </w:r>
    </w:p>
    <w:p>
      <w:pPr>
        <w:autoSpaceDN w:val="0"/>
        <w:autoSpaceDE w:val="0"/>
        <w:widowControl/>
        <w:spacing w:line="238" w:lineRule="auto" w:before="48" w:after="0"/>
        <w:ind w:left="20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WERE</w:t>
      </w:r>
      <w:r>
        <w:rPr>
          <w:rFonts w:ascii="Times" w:hAnsi="Times" w:eastAsia="Times"/>
          <w:b w:val="0"/>
          <w:i w:val="0"/>
          <w:color w:val="221F1F"/>
          <w:sz w:val="14"/>
        </w:rPr>
        <w:t>UNABLE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PERFORM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ACTIONS</w:t>
      </w:r>
    </w:p>
    <w:p>
      <w:pPr>
        <w:autoSpaceDN w:val="0"/>
        <w:autoSpaceDE w:val="0"/>
        <w:widowControl/>
        <w:spacing w:line="245" w:lineRule="auto" w:before="64" w:after="0"/>
        <w:ind w:left="20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PERFORMED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PRESCRIBED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PERIODS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ASSIGN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ALTERNATIVE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CANNOT</w:t>
      </w:r>
      <w:r>
        <w:rPr>
          <w:rFonts w:ascii="Times" w:hAnsi="Times" w:eastAsia="Times"/>
          <w:b w:val="0"/>
          <w:i w:val="0"/>
          <w:color w:val="221F1F"/>
          <w:sz w:val="14"/>
        </w:rPr>
        <w:t>FUNCTION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19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CONDUCT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PROCEEDINGS</w:t>
      </w:r>
      <w:r>
        <w:rPr>
          <w:rFonts w:ascii="Times" w:hAnsi="Times" w:eastAsia="Times"/>
          <w:b w:val="0"/>
          <w:i w:val="0"/>
          <w:color w:val="221F1F"/>
          <w:sz w:val="14"/>
        </w:rPr>
        <w:t>USING</w:t>
      </w:r>
      <w:r>
        <w:rPr>
          <w:rFonts w:ascii="Times" w:hAnsi="Times" w:eastAsia="Times"/>
          <w:b w:val="0"/>
          <w:i w:val="0"/>
          <w:color w:val="221F1F"/>
          <w:sz w:val="14"/>
        </w:rPr>
        <w:t>REMOTE</w:t>
      </w:r>
    </w:p>
    <w:p>
      <w:pPr>
        <w:autoSpaceDN w:val="0"/>
        <w:autoSpaceDE w:val="0"/>
        <w:widowControl/>
        <w:spacing w:line="245" w:lineRule="auto" w:before="50" w:after="0"/>
        <w:ind w:left="20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TECHNOLOGY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FACILITATE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CONTROL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CORONAVIRUS</w:t>
      </w:r>
      <w:r>
        <w:rPr>
          <w:rFonts w:ascii="Times" w:hAnsi="Times" w:eastAsia="Times"/>
          <w:b w:val="0"/>
          <w:i w:val="0"/>
          <w:color w:val="221F1F"/>
          <w:sz w:val="14"/>
        </w:rPr>
        <w:t>DISEASE</w:t>
      </w:r>
      <w:r>
        <w:rPr>
          <w:rFonts w:ascii="Times" w:hAnsi="Times" w:eastAsia="Times"/>
          <w:b w:val="0"/>
          <w:i w:val="0"/>
          <w:color w:val="221F1F"/>
          <w:sz w:val="18"/>
        </w:rPr>
        <w:t>2019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GRANT</w:t>
      </w:r>
      <w:r>
        <w:rPr>
          <w:rFonts w:ascii="Times" w:hAnsi="Times" w:eastAsia="Times"/>
          <w:b w:val="0"/>
          <w:i w:val="0"/>
          <w:color w:val="221F1F"/>
          <w:sz w:val="14"/>
        </w:rPr>
        <w:t>RELIEF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245" w:lineRule="auto" w:before="50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PARTIES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CONTRACTS</w:t>
      </w:r>
      <w:r>
        <w:rPr>
          <w:rFonts w:ascii="Times" w:hAnsi="Times" w:eastAsia="Times"/>
          <w:b w:val="0"/>
          <w:i w:val="0"/>
          <w:color w:val="221F1F"/>
          <w:sz w:val="14"/>
        </w:rPr>
        <w:t>WHO</w:t>
      </w:r>
      <w:r>
        <w:rPr>
          <w:rFonts w:ascii="Times" w:hAnsi="Times" w:eastAsia="Times"/>
          <w:b w:val="0"/>
          <w:i w:val="0"/>
          <w:color w:val="221F1F"/>
          <w:sz w:val="14"/>
        </w:rPr>
        <w:t>WERE</w:t>
      </w:r>
      <w:r>
        <w:rPr>
          <w:rFonts w:ascii="Times" w:hAnsi="Times" w:eastAsia="Times"/>
          <w:b w:val="0"/>
          <w:i w:val="0"/>
          <w:color w:val="221F1F"/>
          <w:sz w:val="14"/>
        </w:rPr>
        <w:t>UNABLE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PERFORM</w:t>
      </w:r>
      <w:r>
        <w:rPr>
          <w:rFonts w:ascii="Times" w:hAnsi="Times" w:eastAsia="Times"/>
          <w:b w:val="0"/>
          <w:i w:val="0"/>
          <w:color w:val="221F1F"/>
          <w:sz w:val="14"/>
        </w:rPr>
        <w:t>CONTRACTUAL</w:t>
      </w:r>
      <w:r>
        <w:rPr>
          <w:rFonts w:ascii="Times" w:hAnsi="Times" w:eastAsia="Times"/>
          <w:b w:val="0"/>
          <w:i w:val="0"/>
          <w:color w:val="221F1F"/>
          <w:sz w:val="14"/>
        </w:rPr>
        <w:t>OBLIGATIONS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</w:p>
    <w:p>
      <w:pPr>
        <w:autoSpaceDN w:val="0"/>
        <w:autoSpaceDE w:val="0"/>
        <w:widowControl/>
        <w:spacing w:line="245" w:lineRule="auto" w:before="50" w:after="0"/>
        <w:ind w:left="20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16" w:after="158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Coronavirus Disease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title,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2019 (COVID -19) (Temporary Provisions) Act, No.      2021.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duration and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be in operation for a period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 of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years commencing 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March 1, 2020.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may, at any time within one month prior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expiration of the period of operation of this Act,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extend for a further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operation of the Act: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aggregate period of any extension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exceed two years from the date of such</w:t>
      </w:r>
      <w:r>
        <w:rPr>
          <w:rFonts w:ascii="Times" w:hAnsi="Times" w:eastAsia="Times"/>
          <w:b w:val="0"/>
          <w:i w:val="0"/>
          <w:color w:val="221F1F"/>
          <w:sz w:val="20"/>
        </w:rPr>
        <w:t>extension.</w:t>
      </w:r>
    </w:p>
    <w:p>
      <w:pPr>
        <w:autoSpaceDN w:val="0"/>
        <w:autoSpaceDE w:val="0"/>
        <w:widowControl/>
        <w:spacing w:line="238" w:lineRule="auto" w:before="216" w:after="0"/>
        <w:ind w:left="0" w:right="49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16" w:after="156"/>
        <w:ind w:left="18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ELIEF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NABILITY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OMPLY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RESCRIBED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ERIODS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court, tribunal or any other authority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Relief in</w:t>
            </w:r>
          </w:p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or under any law is satisfied that, a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prevented from-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inability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instituting or filing any action, application, appeal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prescribed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periods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legal proceeding, as the case may be,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prescribed by law for such purpose;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any act which is required by law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or performed within a prescribed time period,</w:t>
      </w:r>
    </w:p>
    <w:p>
      <w:pPr>
        <w:autoSpaceDN w:val="0"/>
        <w:tabs>
          <w:tab w:pos="1426" w:val="left"/>
          <w:tab w:pos="1702" w:val="left"/>
        </w:tabs>
        <w:autoSpaceDE w:val="0"/>
        <w:widowControl/>
        <w:spacing w:line="259" w:lineRule="auto" w:before="27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it shall be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court, tribunal or any other authority established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law to allow, admit or entertain an action,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appeal, other proceeding or act,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notwithstanding the lapse of the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prescribed by law for such purpose and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9, the period within which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subject to such Covid - 19 circumstance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excluded in calculating the said prescribed time period.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8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relief granted under subsection (1) shall not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any application or appeal-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following rules apply-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Supreme Court (Temporary Provisions)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2174/4 of May 6, 2020;</w:t>
      </w:r>
    </w:p>
    <w:p>
      <w:pPr>
        <w:autoSpaceDN w:val="0"/>
        <w:autoSpaceDE w:val="0"/>
        <w:widowControl/>
        <w:spacing w:line="250" w:lineRule="auto" w:before="278" w:after="0"/>
        <w:ind w:left="2742" w:right="2448" w:hanging="3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Supreme Court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</w:p>
    <w:p>
      <w:pPr>
        <w:autoSpaceDN w:val="0"/>
        <w:tabs>
          <w:tab w:pos="2742" w:val="left"/>
        </w:tabs>
        <w:autoSpaceDE w:val="0"/>
        <w:widowControl/>
        <w:spacing w:line="259" w:lineRule="auto" w:before="2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2211/56 of January 21, 2021;</w:t>
      </w:r>
    </w:p>
    <w:p>
      <w:pPr>
        <w:autoSpaceDN w:val="0"/>
        <w:tabs>
          <w:tab w:pos="2302" w:val="left"/>
          <w:tab w:pos="2742" w:val="left"/>
        </w:tabs>
        <w:autoSpaceDE w:val="0"/>
        <w:widowControl/>
        <w:spacing w:line="259" w:lineRule="auto" w:before="25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Court of Appeal (Procedure for Appeals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2175/2 of May 12, 2020; or</w:t>
      </w:r>
    </w:p>
    <w:p>
      <w:pPr>
        <w:autoSpaceDN w:val="0"/>
        <w:autoSpaceDE w:val="0"/>
        <w:widowControl/>
        <w:spacing w:line="257" w:lineRule="auto" w:before="268" w:after="0"/>
        <w:ind w:left="2742" w:right="2516" w:hanging="4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Court of Appeal (Procedure for Appeals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</w:p>
    <w:p>
      <w:pPr>
        <w:autoSpaceDN w:val="0"/>
        <w:tabs>
          <w:tab w:pos="2742" w:val="left"/>
        </w:tabs>
        <w:autoSpaceDE w:val="0"/>
        <w:widowControl/>
        <w:spacing w:line="259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2211/56 of January 21, 2021;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212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any Supreme Court Rule or Court of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Rule as may be made under Article 136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 within the period of operation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granting any exclusion of time period as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relief in respect of any Covid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- 19 circumstance,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apply.</w:t>
            </w:r>
          </w:p>
        </w:tc>
      </w:tr>
    </w:tbl>
    <w:p>
      <w:pPr>
        <w:autoSpaceDN w:val="0"/>
        <w:autoSpaceDE w:val="0"/>
        <w:widowControl/>
        <w:spacing w:line="348" w:lineRule="auto" w:before="154" w:after="152"/>
        <w:ind w:left="2736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ESIGNATION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TLERNATIVE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sections 46 and 47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Judicature Act, No. 2 of 1978,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ordinary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alternative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in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any court of first instance is disrupted due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 of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Covid - 19 circumstance, the Judicial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designate the nearest court of concurrent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affected by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as the alternative court in place of such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Covid - 19</w:t>
            </w:r>
          </w:p>
        </w:tc>
      </w:tr>
      <w:tr>
        <w:trPr>
          <w:trHeight w:hRule="exact" w:val="2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period during which such Covid - 19 circumstance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exists. Any action, prosecution, proceeding or matter filed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 considered by such court of first instance or any new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action, prosecution, proceeding or matter filed,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or heard by the court so designated: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no transfer of an action, prosecution,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or matter referred to in this subsection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where-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court of first instance has reserved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action, prosecution, proceeding or matter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judgment, order or other pronouncement;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hearings in such action, prosecution, proceeding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matter have concluded before such court of first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 action, prosecution, proceeding or matter filed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considered by an alternative court referred to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may, by the presiding Judge of the alternative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subsequently be transferred to the court of first instance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previously exercised jurisdiction in relation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 upon the resumption of ordinary functions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original court: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83" w:lineRule="auto" w:before="286" w:after="29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transfer of an action,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matter referred to in this subsection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made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alternative court has reserved such action,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prosecution, proceeding or matter for judgment,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 or other pronouncement; or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5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hearings in such action, prosecution, proceeding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matter have concluded before such alternative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3400" w:val="left"/>
        </w:tabs>
        <w:autoSpaceDE w:val="0"/>
        <w:widowControl/>
        <w:spacing w:line="254" w:lineRule="auto" w:before="35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III</w:t>
      </w:r>
    </w:p>
    <w:p>
      <w:pPr>
        <w:autoSpaceDN w:val="0"/>
        <w:autoSpaceDE w:val="0"/>
        <w:widowControl/>
        <w:spacing w:line="271" w:lineRule="auto" w:before="342" w:after="298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ONDUCTING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ROCEEDINGS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EMOTE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contained in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Conducting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where, in any action, application, appeal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before a court of first instance,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remote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57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is unable to appear in court;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</w:tr>
      <w:tr>
        <w:trPr>
          <w:trHeight w:hRule="exact" w:val="4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of the court cannot be conducted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0" w:right="4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the ordinary procedure,</w:t>
      </w:r>
    </w:p>
    <w:p>
      <w:pPr>
        <w:autoSpaceDN w:val="0"/>
        <w:tabs>
          <w:tab w:pos="1702" w:val="left"/>
        </w:tabs>
        <w:autoSpaceDE w:val="0"/>
        <w:widowControl/>
        <w:spacing w:line="293" w:lineRule="auto" w:before="35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such action, application,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or proceeding before such court may be conducted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 live video or live television link created 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remote communication technology,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prescribed by regulations made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Minister, in concurrence with the Chief Justice.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0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0"/>
        <w:ind w:left="0" w:right="38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44" w:after="0"/>
        <w:ind w:left="0" w:right="4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IV</w:t>
      </w:r>
    </w:p>
    <w:p>
      <w:pPr>
        <w:autoSpaceDN w:val="0"/>
        <w:autoSpaceDE w:val="0"/>
        <w:widowControl/>
        <w:spacing w:line="238" w:lineRule="auto" w:before="224" w:after="166"/>
        <w:ind w:left="0" w:right="3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ELIEF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ESPECT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ONTRACTS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 of this Part, a “Scheduled contract”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Scheduled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any contract specified in the First Schedule to this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contract as may be prescribed,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Relief in</w:t>
            </w:r>
          </w:p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contained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contract or agreement, where any party to 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contract is-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inability to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Covid - 19 circumstance;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contractual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unable to perform any obligation or exercise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exercise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contractual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under such contract due to such Covid - 19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party may make an application for relief under this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to the court, tribunal or any other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or under any law which would otherwise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jurisdiction, authority or power to adjudicate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contract under any applicable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the receipt of an application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such court, tribunal or any other authority established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 under any law may, subject to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9, exclude the period within which such party was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Covid - 19 circumstance which prevented him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the obligation or exercising the right,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within which such obligation or right would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required to be performed or exercised under the Scheduled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where the party making the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already been granted an exclusion of time as a relief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by the other party or parties to the contract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terms of the contract,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tribunal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authority established by or under any law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satisfaction that it is just and equitable, grant a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relief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relief under this Part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accompanied by the relevant material supporting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application including any material which discloses any </w:t>
      </w:r>
      <w:r>
        <w:rPr>
          <w:rFonts w:ascii="Times" w:hAnsi="Times" w:eastAsia="Times"/>
          <w:b w:val="0"/>
          <w:i w:val="0"/>
          <w:color w:val="221F1F"/>
          <w:sz w:val="20"/>
        </w:rPr>
        <w:t>moratorium or extension of time already granted as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(2) of section 9.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application made under section 6 by any party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Scheduled contract who is subject to any Covid - 19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 not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 and unable to perform any obligation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right under such contract due to such Covid - 19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circumstance, shall not prevent any other party to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from instituting any action specified in subsection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(2), in relation to such inability.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fact that such inability was due to </w:t>
      </w:r>
      <w:r>
        <w:rPr>
          <w:rFonts w:ascii="Times" w:hAnsi="Times" w:eastAsia="Times"/>
          <w:b w:val="0"/>
          <w:i w:val="0"/>
          <w:color w:val="221F1F"/>
          <w:sz w:val="20"/>
        </w:rPr>
        <w:t>a Covid - 19 circumstance shall be a defence available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party who was unable to perform such obligation or exercise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right in such action.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actions referred to in subsection (1) include-</w:t>
      </w:r>
    </w:p>
    <w:p>
      <w:pPr>
        <w:autoSpaceDN w:val="0"/>
        <w:tabs>
          <w:tab w:pos="2318" w:val="left"/>
          <w:tab w:pos="2662" w:val="left"/>
        </w:tabs>
        <w:autoSpaceDE w:val="0"/>
        <w:widowControl/>
        <w:spacing w:line="252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in a court against the party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guarantor or surety of such party;</w:t>
      </w:r>
    </w:p>
    <w:p>
      <w:pPr>
        <w:autoSpaceDN w:val="0"/>
        <w:autoSpaceDE w:val="0"/>
        <w:widowControl/>
        <w:spacing w:line="247" w:lineRule="auto" w:before="234" w:after="194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proceedings under the Arbitration Act, No. 11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1995 against the party who is unable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contractual obligation or a guarantor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45" w:lineRule="auto" w:before="60" w:after="0"/>
              <w:ind w:left="39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enforce any security over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to enforce any security over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used for the purpose of a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or 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under the Companies Act, No. 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2007 for a meeting of creditors to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0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45" w:lineRule="auto" w:before="248" w:after="176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summoned to approve a compromise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in relation to the party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guarantor 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for a judicial management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the party who is unable to perform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contractual obligation or the guarantor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application for the winding up of the party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unable to perform the contractual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obligation or the guarantor or surety of such party;</w:t>
      </w:r>
    </w:p>
    <w:p>
      <w:pPr>
        <w:autoSpaceDN w:val="0"/>
        <w:autoSpaceDE w:val="0"/>
        <w:widowControl/>
        <w:spacing w:line="245" w:lineRule="auto" w:before="236" w:after="178"/>
        <w:ind w:left="27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bankruptcy application in relation to the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unable to perform the contractual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 or the guarantor or surety of such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96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appoint a receiver or manager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  undertaking in relation to the party who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perform the contractual obligation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guarantor or surety of such party;</w:t>
      </w:r>
    </w:p>
    <w:p>
      <w:pPr>
        <w:autoSpaceDN w:val="0"/>
        <w:tabs>
          <w:tab w:pos="2456" w:val="left"/>
          <w:tab w:pos="2756" w:val="left"/>
        </w:tabs>
        <w:autoSpaceDE w:val="0"/>
        <w:widowControl/>
        <w:spacing w:line="245" w:lineRule="auto" w:before="236" w:after="178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action to commence or levy execution,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distress or other legal process against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 relation to the party who is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contractual obligation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guarantor or surety of such party, except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leave of the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6" w:right="1152" w:hanging="33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repossess any goods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chattels lease agreement, hire-purchase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or retention of title agreement,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used for the purpose of a trade,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profession;</w:t>
      </w:r>
    </w:p>
    <w:p>
      <w:pPr>
        <w:autoSpaceDN w:val="0"/>
        <w:tabs>
          <w:tab w:pos="2456" w:val="left"/>
        </w:tabs>
        <w:autoSpaceDE w:val="0"/>
        <w:widowControl/>
        <w:spacing w:line="254" w:lineRule="auto" w:before="250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an action to terminate a Scheduled contract,</w:t>
      </w:r>
    </w:p>
    <w:p>
      <w:pPr>
        <w:autoSpaceDN w:val="0"/>
        <w:autoSpaceDE w:val="0"/>
        <w:widowControl/>
        <w:spacing w:line="238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being a lease or licence of immovable property,</w:t>
      </w:r>
    </w:p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where the obligation unable to be performed is</w:t>
      </w:r>
    </w:p>
    <w:p>
      <w:pPr>
        <w:autoSpaceDN w:val="0"/>
        <w:autoSpaceDE w:val="0"/>
        <w:widowControl/>
        <w:spacing w:line="238" w:lineRule="auto" w:before="24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non-payment of rent or other moneys;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5" w:lineRule="auto" w:before="25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an action to exercise a right of re-entry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forfeiture under a Scheduled contract, being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 or licence of immovable property,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of any other right that has a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outcome;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action to enforce a judgment of a court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made by arbitral proceedings conducted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Arbitration Act, No. 11 of 1995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party who is unable to perform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contractual obligation or a guarantor or surety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party;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forfeiture of any part of any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to the party who is unable to exercise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other action as may be prescribed.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avoidance of doubt, it is hereby declared that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Part of this Act shall not be construed as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absolving, in any way, a party to a Scheduled contract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any obligation or exercising any right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otherwise be required to be performed or exercised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party under such contract.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6" w:after="0"/>
        <w:ind w:left="0" w:right="46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</w:p>
    <w:p>
      <w:pPr>
        <w:autoSpaceDN w:val="0"/>
        <w:autoSpaceDE w:val="0"/>
        <w:widowControl/>
        <w:spacing w:line="238" w:lineRule="auto" w:before="216" w:after="156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period excluded as a relief under section 2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6 of this Act shall not exceed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relief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twelve months: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a period exceeding twelve months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excluded as a relief where the court, tribunal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established by or under any law is satisfied that 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just and equitable to do so and the period so excluded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exceed a period of further six months: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5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that the period excluded as a relief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 eighteen months in the aggregate.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45" w:lineRule="auto" w:before="0" w:after="0"/>
        <w:ind w:left="26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52" w:lineRule="auto" w:before="256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relief granted under Part IV of this Act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where any moratorium has been granted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any other regulatory authority as a relief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>to circumstances arising out of Coronavirus Disease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(COVID - 19), on or after March 1, 2020.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Burden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burden of proof of that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47" w:lineRule="auto" w:before="48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inability to comply with the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periods for the purpose of section 2; or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inability to perform any contractual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obligation or exercise any contractual right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section 6 or 7,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19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due to any Covid - 19 circumstance, shall be on the party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for relief or claiming the defence, as </w:t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under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regulations are required or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>be made under this Act.</w:t>
      </w:r>
    </w:p>
    <w:p>
      <w:pPr>
        <w:autoSpaceDN w:val="0"/>
        <w:autoSpaceDE w:val="0"/>
        <w:widowControl/>
        <w:spacing w:line="235" w:lineRule="auto" w:before="266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regulation made under subsection (1)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publication or on such later date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6642" w:val="left"/>
        </w:tabs>
        <w:autoSpaceDE w:val="0"/>
        <w:widowControl/>
        <w:spacing w:line="235" w:lineRule="auto" w:before="256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50" w:lineRule="auto" w:before="266" w:after="0"/>
        <w:ind w:left="3244" w:right="2516" w:hanging="9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“Central Bank” means the Central Bank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420);</w:t>
      </w:r>
    </w:p>
    <w:p>
      <w:pPr>
        <w:autoSpaceDN w:val="0"/>
        <w:tabs>
          <w:tab w:pos="2344" w:val="left"/>
          <w:tab w:pos="3244" w:val="left"/>
        </w:tabs>
        <w:autoSpaceDE w:val="0"/>
        <w:widowControl/>
        <w:spacing w:line="252" w:lineRule="auto" w:before="266" w:after="1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“Covid - 19” means the Coronavirus Disease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(COVID - 19) declared as a quarantinable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 by Notification published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No. 2167/18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March 20, 2020 under the Quarantine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Prevention of Diseases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222);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206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“Covid - 19 circumstance”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Covid - 19;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operation of or compliance with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of Sri Lanka or another country or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8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territory, or an order or direction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 any statutory body, or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or other public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another country or territory, being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order or direction that is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or in connection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Coronavirus Disease 2019 (COVID - 19);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circumstance arising out of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consequential to the circumstances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paragraph (a) or (b).</w:t>
      </w:r>
    </w:p>
    <w:p>
      <w:pPr>
        <w:autoSpaceDN w:val="0"/>
        <w:autoSpaceDE w:val="0"/>
        <w:widowControl/>
        <w:spacing w:line="247" w:lineRule="auto" w:before="264" w:after="0"/>
        <w:ind w:left="3184" w:right="2448" w:hanging="8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35" w:lineRule="auto" w:before="2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“prescribe” means prescribe by regulations made</w:t>
      </w:r>
    </w:p>
    <w:p>
      <w:pPr>
        <w:autoSpaceDN w:val="0"/>
        <w:tabs>
          <w:tab w:pos="3184" w:val="left"/>
        </w:tabs>
        <w:autoSpaceDE w:val="0"/>
        <w:widowControl/>
        <w:spacing w:line="266" w:lineRule="auto" w:before="20" w:after="0"/>
        <w:ind w:left="13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52" w:lineRule="auto" w:before="256" w:after="172"/>
        <w:ind w:left="3278" w:right="2422" w:hanging="8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“regulatory authority” means an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 under any written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regulatory or approving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a Scheduled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tabs>
          <w:tab w:pos="5738" w:val="left"/>
        </w:tabs>
        <w:autoSpaceDE w:val="0"/>
        <w:widowControl/>
        <w:spacing w:line="283" w:lineRule="auto" w:before="234" w:after="0"/>
        <w:ind w:left="35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FIRST SCHEDULE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 5)</w:t>
      </w:r>
    </w:p>
    <w:p>
      <w:pPr>
        <w:autoSpaceDN w:val="0"/>
        <w:autoSpaceDE w:val="0"/>
        <w:widowControl/>
        <w:spacing w:line="238" w:lineRule="auto" w:before="556" w:after="0"/>
        <w:ind w:left="0" w:right="41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Scheduled contracts</w:t>
      </w:r>
    </w:p>
    <w:p>
      <w:pPr>
        <w:autoSpaceDN w:val="0"/>
        <w:autoSpaceDE w:val="0"/>
        <w:widowControl/>
        <w:spacing w:line="238" w:lineRule="auto" w:before="3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Scheduled contracts include-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307" w:lineRule="auto" w:before="31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grant of a loan facility by a bank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Banking Act, No. 30 of 1988 or a finance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the Finance Business Act, No. 42 of 2011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enterprise, where such facility is secured, wholly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partially, against any commercial or industrial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property located in Sri Lanka;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300" w:lineRule="auto" w:before="31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grant of a loan facility by a bank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Banking Act, No. 30 of 1988 or a finance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under the Finance Business Act, No. 42 of 2011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enterprise-</w:t>
      </w:r>
    </w:p>
    <w:p>
      <w:pPr>
        <w:autoSpaceDN w:val="0"/>
        <w:autoSpaceDE w:val="0"/>
        <w:widowControl/>
        <w:spacing w:line="293" w:lineRule="auto" w:before="310" w:after="0"/>
        <w:ind w:left="2996" w:right="2422" w:hanging="28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where such facility is secured, wholly or partially,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against any plant, machinery or fixed asset located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Sri Lanka; and</w:t>
      </w:r>
    </w:p>
    <w:p>
      <w:pPr>
        <w:autoSpaceDN w:val="0"/>
        <w:autoSpaceDE w:val="0"/>
        <w:widowControl/>
        <w:spacing w:line="293" w:lineRule="auto" w:before="310" w:after="0"/>
        <w:ind w:left="29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where such plant, machinery or fixed asset,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case may be, is used for manufacturing,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other business purposes;</w:t>
      </w:r>
    </w:p>
    <w:p>
      <w:pPr>
        <w:autoSpaceDN w:val="0"/>
        <w:tabs>
          <w:tab w:pos="2498" w:val="left"/>
          <w:tab w:pos="2516" w:val="left"/>
        </w:tabs>
        <w:autoSpaceDE w:val="0"/>
        <w:widowControl/>
        <w:spacing w:line="278" w:lineRule="auto" w:before="310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performance bond or equivalent that is granted pursuant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a construction contract or supply contract;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4" w:val="left"/>
          <w:tab w:pos="2404" w:val="left"/>
          <w:tab w:pos="2506" w:val="left"/>
          <w:tab w:pos="3142" w:val="left"/>
        </w:tabs>
        <w:autoSpaceDE w:val="0"/>
        <w:widowControl/>
        <w:spacing w:line="350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(Temporary Provisions)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hire-purchase agreement within the meaning of the</w:t>
      </w:r>
    </w:p>
    <w:p>
      <w:pPr>
        <w:autoSpaceDN w:val="0"/>
        <w:autoSpaceDE w:val="0"/>
        <w:widowControl/>
        <w:spacing w:line="235" w:lineRule="auto" w:before="6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Consumer Credit Act, No. 29 of 1982, where the good</w:t>
      </w:r>
    </w:p>
    <w:p>
      <w:pPr>
        <w:autoSpaceDN w:val="0"/>
        <w:autoSpaceDE w:val="0"/>
        <w:widowControl/>
        <w:spacing w:line="238" w:lineRule="auto" w:before="64" w:after="0"/>
        <w:ind w:left="0" w:right="2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hired or conditionally sold under the agreement is —</w:t>
      </w:r>
    </w:p>
    <w:p>
      <w:pPr>
        <w:autoSpaceDN w:val="0"/>
        <w:autoSpaceDE w:val="0"/>
        <w:widowControl/>
        <w:spacing w:line="238" w:lineRule="auto" w:before="3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(i) any plant, machinery or fixed asset located in Sri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5" w:lineRule="auto" w:before="6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autoSpaceDE w:val="0"/>
        <w:widowControl/>
        <w:spacing w:line="235" w:lineRule="auto" w:before="312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(ii) 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lease of -</w:t>
      </w:r>
    </w:p>
    <w:p>
      <w:pPr>
        <w:autoSpaceDN w:val="0"/>
        <w:autoSpaceDE w:val="0"/>
        <w:widowControl/>
        <w:spacing w:line="235" w:lineRule="auto" w:before="3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(i) any plant, machinery or fixed asset located in Sri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8" w:lineRule="auto" w:before="64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autoSpaceDE w:val="0"/>
        <w:widowControl/>
        <w:spacing w:line="238" w:lineRule="auto" w:before="310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(ii) 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8" w:lineRule="auto" w:before="31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finance lease within the meaning of the Finance Leasing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Act, No. 56 of 2000, where the equipment provided under</w:t>
      </w:r>
    </w:p>
    <w:p>
      <w:pPr>
        <w:autoSpaceDN w:val="0"/>
        <w:autoSpaceDE w:val="0"/>
        <w:widowControl/>
        <w:spacing w:line="238" w:lineRule="auto" w:before="6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finance lease is-</w:t>
      </w:r>
    </w:p>
    <w:p>
      <w:pPr>
        <w:autoSpaceDN w:val="0"/>
        <w:tabs>
          <w:tab w:pos="2904" w:val="left"/>
        </w:tabs>
        <w:autoSpaceDE w:val="0"/>
        <w:widowControl/>
        <w:spacing w:line="238" w:lineRule="auto" w:before="310" w:after="0"/>
        <w:ind w:left="25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any plant, machinery or fixed asset located in Sri</w:t>
      </w:r>
    </w:p>
    <w:p>
      <w:pPr>
        <w:autoSpaceDN w:val="0"/>
        <w:autoSpaceDE w:val="0"/>
        <w:widowControl/>
        <w:spacing w:line="235" w:lineRule="auto" w:before="6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Lanka, where such plant, machinery or fixed asset is</w:t>
      </w:r>
    </w:p>
    <w:p>
      <w:pPr>
        <w:autoSpaceDN w:val="0"/>
        <w:autoSpaceDE w:val="0"/>
        <w:widowControl/>
        <w:spacing w:line="238" w:lineRule="auto" w:before="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used for manufacturing, production or other business</w:t>
      </w:r>
    </w:p>
    <w:p>
      <w:pPr>
        <w:autoSpaceDN w:val="0"/>
        <w:autoSpaceDE w:val="0"/>
        <w:widowControl/>
        <w:spacing w:line="235" w:lineRule="auto" w:before="66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purposes; or</w:t>
      </w:r>
    </w:p>
    <w:p>
      <w:pPr>
        <w:autoSpaceDN w:val="0"/>
        <w:tabs>
          <w:tab w:pos="2904" w:val="left"/>
        </w:tabs>
        <w:autoSpaceDE w:val="0"/>
        <w:widowControl/>
        <w:spacing w:line="235" w:lineRule="auto" w:before="312" w:after="0"/>
        <w:ind w:left="25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commercial vehicle;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event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tourism-related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construction contract or supply contract;</w:t>
      </w:r>
    </w:p>
    <w:p>
      <w:pPr>
        <w:autoSpaceDN w:val="0"/>
        <w:tabs>
          <w:tab w:pos="2404" w:val="left"/>
        </w:tabs>
        <w:autoSpaceDE w:val="0"/>
        <w:widowControl/>
        <w:spacing w:line="235" w:lineRule="auto" w:before="3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lease of non-residential immovable property;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6" w:after="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option given by a housing developer to an intending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purchaser for the purchase of one or more units of housing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accommodation;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between a housing developer and a purchaser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sale and purchase of one or more units of housing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accommodation;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option given by a commercial property developer 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intending purchaser for the purchase of one or more units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commercial property;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81" w:lineRule="auto" w:before="28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between a commercial property developer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purchaser for the sale and purchase of one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units of commercial property.</w:t>
      </w:r>
    </w:p>
    <w:p>
      <w:pPr>
        <w:autoSpaceDN w:val="0"/>
        <w:autoSpaceDE w:val="0"/>
        <w:widowControl/>
        <w:spacing w:line="235" w:lineRule="auto" w:before="28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For the purpose of this Schedule-</w:t>
      </w:r>
    </w:p>
    <w:p>
      <w:pPr>
        <w:autoSpaceDN w:val="0"/>
        <w:autoSpaceDE w:val="0"/>
        <w:widowControl/>
        <w:spacing w:line="281" w:lineRule="auto" w:before="288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 developer” means any person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engages in the business of commercial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development;</w:t>
      </w:r>
    </w:p>
    <w:p>
      <w:pPr>
        <w:autoSpaceDN w:val="0"/>
        <w:autoSpaceDE w:val="0"/>
        <w:widowControl/>
        <w:spacing w:line="293" w:lineRule="auto" w:before="288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 development” means the construction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causing the construction of any number of units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commercial property, including any building operations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in, on, over or under the land for the purpose of erecting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commercial property, and the sale of land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would be appurtenant to such commercial property;</w:t>
      </w:r>
    </w:p>
    <w:p>
      <w:pPr>
        <w:autoSpaceDN w:val="0"/>
        <w:autoSpaceDE w:val="0"/>
        <w:widowControl/>
        <w:spacing w:line="293" w:lineRule="auto" w:before="286" w:after="0"/>
        <w:ind w:left="26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property” means any building or other premises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is permitted by or under any written law for use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commercial or an industrial purpose, or for mixed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purposes the predominant purpose of which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commercial or an industrial purpose;</w:t>
      </w:r>
    </w:p>
    <w:p>
      <w:pPr>
        <w:autoSpaceDN w:val="0"/>
        <w:tabs>
          <w:tab w:pos="2638" w:val="left"/>
        </w:tabs>
        <w:autoSpaceDE w:val="0"/>
        <w:widowControl/>
        <w:spacing w:line="271" w:lineRule="auto" w:before="286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“commercial vehicle” means any motor vehicle used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commercial or an industrial purpose;</w:t>
      </w:r>
    </w:p>
    <w:p>
      <w:pPr>
        <w:autoSpaceDN w:val="0"/>
        <w:tabs>
          <w:tab w:pos="2638" w:val="left"/>
        </w:tabs>
        <w:autoSpaceDE w:val="0"/>
        <w:widowControl/>
        <w:spacing w:line="274" w:lineRule="auto" w:before="288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“construction contract” means an agreement with a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entity for any of the following-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6" w:val="left"/>
          <w:tab w:pos="314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tabs>
          <w:tab w:pos="3144" w:val="left"/>
        </w:tabs>
        <w:autoSpaceDE w:val="0"/>
        <w:widowControl/>
        <w:spacing w:line="238" w:lineRule="auto" w:before="292" w:after="0"/>
        <w:ind w:left="26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carrying out of construction work;</w:t>
      </w:r>
    </w:p>
    <w:p>
      <w:pPr>
        <w:autoSpaceDN w:val="0"/>
        <w:tabs>
          <w:tab w:pos="3144" w:val="left"/>
        </w:tabs>
        <w:autoSpaceDE w:val="0"/>
        <w:widowControl/>
        <w:spacing w:line="298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arranging for the carrying out of construction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work by others, whether under sub-contract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otherwise to such person or entity,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may be;</w:t>
      </w:r>
    </w:p>
    <w:p>
      <w:pPr>
        <w:autoSpaceDN w:val="0"/>
        <w:tabs>
          <w:tab w:pos="3144" w:val="left"/>
        </w:tabs>
        <w:autoSpaceDE w:val="0"/>
        <w:widowControl/>
        <w:spacing w:line="290" w:lineRule="auto" w:before="310" w:after="0"/>
        <w:ind w:left="26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providing his own labour or labour owned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entity or the labour of others, for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out of construction work;</w:t>
      </w:r>
    </w:p>
    <w:p>
      <w:pPr>
        <w:autoSpaceDN w:val="0"/>
        <w:autoSpaceDE w:val="0"/>
        <w:widowControl/>
        <w:spacing w:line="290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“event contract” means a contract to provide a venue,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accommodation, amenities, transport, entertainment,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catering or other goods or services for-</w:t>
      </w:r>
    </w:p>
    <w:p>
      <w:pPr>
        <w:autoSpaceDN w:val="0"/>
        <w:tabs>
          <w:tab w:pos="3144" w:val="left"/>
        </w:tabs>
        <w:autoSpaceDE w:val="0"/>
        <w:widowControl/>
        <w:spacing w:line="298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business meeting, incentive travel, conference,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exhibition, sales event, concert, show, wedding,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party or other social gathering, or sporting event;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</w:t>
      </w:r>
    </w:p>
    <w:p>
      <w:pPr>
        <w:autoSpaceDN w:val="0"/>
        <w:tabs>
          <w:tab w:pos="3144" w:val="left"/>
        </w:tabs>
        <w:autoSpaceDE w:val="0"/>
        <w:widowControl/>
        <w:spacing w:line="290" w:lineRule="auto" w:before="306" w:after="0"/>
        <w:ind w:left="26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participants, attendees, guests, patrons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spectators of any of the events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);</w:t>
      </w:r>
    </w:p>
    <w:p>
      <w:pPr>
        <w:autoSpaceDN w:val="0"/>
        <w:autoSpaceDE w:val="0"/>
        <w:widowControl/>
        <w:spacing w:line="298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“housing accommodation” includes a building or tenement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wholly or principally constructed, adapted or intended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human habitation, or for human habitation and as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premises;</w:t>
      </w:r>
    </w:p>
    <w:p>
      <w:pPr>
        <w:autoSpaceDN w:val="0"/>
        <w:tabs>
          <w:tab w:pos="2484" w:val="left"/>
        </w:tabs>
        <w:autoSpaceDE w:val="0"/>
        <w:widowControl/>
        <w:spacing w:line="278" w:lineRule="auto" w:before="306" w:after="0"/>
        <w:ind w:left="20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“housing developer” means any person that engages in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housing development;</w:t>
      </w:r>
    </w:p>
    <w:p>
      <w:pPr>
        <w:autoSpaceDN w:val="0"/>
        <w:autoSpaceDE w:val="0"/>
        <w:widowControl/>
        <w:spacing w:line="305" w:lineRule="auto" w:before="306" w:after="0"/>
        <w:ind w:left="248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”housing development” means the construction or causing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construction of any number of units of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accommodation, including any building operations in,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on, over or under the land for the purpose of erecting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housing accommodation, and the sale of land which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be appurtenant to such housing accommodation;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8" w:val="left"/>
          <w:tab w:pos="6392" w:val="left"/>
        </w:tabs>
        <w:autoSpaceDE w:val="0"/>
        <w:widowControl/>
        <w:spacing w:line="245" w:lineRule="auto" w:before="0" w:after="0"/>
        <w:ind w:left="26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98" w:lineRule="auto" w:before="312" w:after="0"/>
        <w:ind w:left="257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“supply contract” means an agreement under which one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undertakes to supply goods required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construction work, to any other party who is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business of carrying out construction work 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causes to be carried out construction work;</w:t>
      </w:r>
    </w:p>
    <w:p>
      <w:pPr>
        <w:autoSpaceDN w:val="0"/>
        <w:autoSpaceDE w:val="0"/>
        <w:widowControl/>
        <w:spacing w:line="238" w:lineRule="auto" w:before="300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“tourism related contract” means-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298" w:after="0"/>
        <w:ind w:left="27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international carriage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passengers by sea or land;</w:t>
      </w:r>
    </w:p>
    <w:p>
      <w:pPr>
        <w:autoSpaceDN w:val="0"/>
        <w:tabs>
          <w:tab w:pos="3238" w:val="left"/>
        </w:tabs>
        <w:autoSpaceDE w:val="0"/>
        <w:widowControl/>
        <w:spacing w:line="298" w:lineRule="auto" w:before="298" w:after="0"/>
        <w:ind w:left="27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contract for the provision of transport, short-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 accommodation, entertainment, dining,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catering, tours or other tourism-related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for visitors to Sri Lanka, domestic tourists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outbound tourists; or</w:t>
      </w:r>
    </w:p>
    <w:p>
      <w:pPr>
        <w:autoSpaceDN w:val="0"/>
        <w:tabs>
          <w:tab w:pos="3238" w:val="left"/>
        </w:tabs>
        <w:autoSpaceDE w:val="0"/>
        <w:widowControl/>
        <w:spacing w:line="288" w:lineRule="auto" w:before="298" w:after="0"/>
        <w:ind w:left="27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contract for the promotion of tourism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or the distribution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trade or retail of products related to such tourism;</w:t>
      </w:r>
    </w:p>
    <w:p>
      <w:pPr>
        <w:autoSpaceDN w:val="0"/>
        <w:autoSpaceDE w:val="0"/>
        <w:widowControl/>
        <w:spacing w:line="290" w:lineRule="auto" w:before="304" w:after="0"/>
        <w:ind w:left="257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“unit” means a horizontal stratum of any building or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building, whether such stratum is on one or more levels,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which is intended for use in accordance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provisions of any written law as a complete and separate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unit for residential, commercial or industrial purpose.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6"/>
        <w:ind w:left="0" w:right="0"/>
      </w:pPr>
    </w:p>
    <w:p>
      <w:pPr>
        <w:autoSpaceDN w:val="0"/>
        <w:tabs>
          <w:tab w:pos="2506" w:val="left"/>
        </w:tabs>
        <w:autoSpaceDE w:val="0"/>
        <w:widowControl/>
        <w:spacing w:line="235" w:lineRule="auto" w:before="26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Coronavirus Disease 2019 (Covid - 19)</w:t>
      </w:r>
    </w:p>
    <w:p>
      <w:pPr>
        <w:autoSpaceDN w:val="0"/>
        <w:autoSpaceDE w:val="0"/>
        <w:widowControl/>
        <w:spacing w:line="235" w:lineRule="auto" w:before="14" w:after="0"/>
        <w:ind w:left="0" w:right="39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</w:t>
      </w:r>
    </w:p>
    <w:p>
      <w:pPr>
        <w:autoSpaceDN w:val="0"/>
        <w:autoSpaceDE w:val="0"/>
        <w:widowControl/>
        <w:spacing w:line="238" w:lineRule="auto" w:before="901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