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5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14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UNITED  CHRISTIAN  FELLOWSHIP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OF  SRI  LANKA  (INCORPORATION)</w:t>
      </w:r>
    </w:p>
    <w:p>
      <w:pPr>
        <w:autoSpaceDN w:val="0"/>
        <w:autoSpaceDE w:val="0"/>
        <w:widowControl/>
        <w:spacing w:line="238" w:lineRule="auto" w:before="40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96" w:after="0"/>
        <w:ind w:left="193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United Christian Fellowship of Sri Lanka</w:t>
      </w:r>
    </w:p>
    <w:p>
      <w:pPr>
        <w:autoSpaceDN w:val="0"/>
        <w:autoSpaceDE w:val="0"/>
        <w:widowControl/>
        <w:spacing w:line="238" w:lineRule="auto" w:before="2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6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Buddhika Pathirana, M. 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 on 23rd of June, 2021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18,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7" w:lineRule="auto" w:before="400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54]</w:t>
      </w:r>
    </w:p>
    <w:p>
      <w:pPr>
        <w:autoSpaceDN w:val="0"/>
        <w:autoSpaceDE w:val="0"/>
        <w:widowControl/>
        <w:spacing w:line="245" w:lineRule="auto" w:before="88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48" w:val="left"/>
        </w:tabs>
        <w:autoSpaceDE w:val="0"/>
        <w:widowControl/>
        <w:spacing w:line="235" w:lineRule="auto" w:before="8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5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United Christian Fellowship of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8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HRISTIAN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ELLOWSHIP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5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“United Christian Fellowship” has heretofore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Sri Lanka for the puropse of effectually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and transacting all matters connected with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association: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had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by Act of Parliament, and it will be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advantage to grant the application.</w:t>
      </w:r>
    </w:p>
    <w:p>
      <w:pPr>
        <w:autoSpaceDN w:val="0"/>
        <w:autoSpaceDE w:val="0"/>
        <w:widowControl/>
        <w:spacing w:line="247" w:lineRule="auto" w:before="266" w:after="2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United Christian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6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Fellowship of Sri Lanka (Incorporation) Act, No.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United Christian Fellowship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United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“Association”) or shall hereafter be admitted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Christian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hereby constituted shall be a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Fellowship 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Corporation”) with perpetual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under the name and style of “United Christian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Fellowship of Sri Lanka”, and by that name may sue and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in all courts, with full power and authority to have and </w:t>
      </w:r>
      <w:r>
        <w:rPr>
          <w:rFonts w:ascii="Times" w:hAnsi="Times" w:eastAsia="Times"/>
          <w:b w:val="0"/>
          <w:i w:val="0"/>
          <w:color w:val="221F1F"/>
          <w:sz w:val="20"/>
        </w:rPr>
        <w:t>use a common seal 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evangelise and proclaim the full Gospel of our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Load Jesus Christ as commissioned by Him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08" w:val="left"/>
          <w:tab w:pos="3466" w:val="left"/>
        </w:tabs>
        <w:autoSpaceDE w:val="0"/>
        <w:widowControl/>
        <w:spacing w:line="228" w:lineRule="exact" w:before="38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United Christian Fellowship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Holy Scriptures in the Book of Matthew, Chapter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28 Verses 18-20 and in the Book of Mark, Chapter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16 Verses 16-20;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adimit as members of the Association  those belive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 accept the full Gospel of our Lord Jesus Christ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written in the Holy Scriptures and who claim 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Lord Jesus Christ as their personal saviour;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members of the association to worship our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Lord Jesus Christ, as an assembly of believers,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gathered together (in spirit and in truth) as 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commanded in the word of God in the Holy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Scriptures;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enable members of the association to worship our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Lord Jesus Christ, as an assembly of believers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gathered together  (in spirit and in truth) as 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commanded in the word of God in the Holy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Scriptures;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enable members of the association to claim full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salvation including salvation from sin, sickness and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suffering and thereby assisting such members 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prosper spiritually by caliming all the promises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our Lord Jesus Christ as is found in the Holy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Scriptures;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Sunday Schools, Bible Colleges, Retreat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Conference Centres and Discipleship Training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Centres for members who believe and are committed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spread Chirstian evangelism by Biblical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disciplining and Christian church planting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commissioned and commanded in the Book of Acts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Holy Scripture according to Paul;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the right to ordain and to give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credentials to Ministers of the Church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workers of church assembly, who desire to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rights from this association;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0"/>
        <w:ind w:left="25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United Christian Fellowship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5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affiliate with Christian Assemblies having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doctrinal objectives in Sri Lanka or abroad;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70" w:after="8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print, publish and distribute, books, treatises,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journals, magazines, newspapers &amp; newsletters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Christianity;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hold public gospel meetings, discussions,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seminars and conventions on the teachings of 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Lord Jesus Christ;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(k)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daycare centres, Montessori schools,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vocational training institutes, medical centres and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projects of a community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nature to improve the quality of life of all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irrespective of their racial or religious persuasions;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(l)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and things as are incidental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conducive to the attainment of the aforesaid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10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objects or any one or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whatsoever, as are necessary or desirable for the promotion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8" w:after="2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including the power to open, operate and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accounts, to borrow or raise moneys, with or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to receive or collect grants and donations, to invest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funds, and to engage employ and dismiss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required for the carrying out of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of the Corporation, be administered by a Committee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consisting of the office bearers and such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as may be provided for in such rules and elected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08" w:val="left"/>
          <w:tab w:pos="3466" w:val="left"/>
        </w:tabs>
        <w:autoSpaceDE w:val="0"/>
        <w:widowControl/>
        <w:spacing w:line="228" w:lineRule="exact" w:before="38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United Christian Fellowship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7" w:lineRule="auto" w:before="262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shall be the Committee of Management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holding office on the day prior to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 of the members and by majority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votes, of not less than three fourths of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 to make Rules,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Act or any other written law for the admission,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resignation, retirement or expulsion of members,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election of office-bearers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for the conduct of the duties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Management and of the various officers, agents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servants of the Corporation for the procedure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in the transaction of business, and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for the management of the affairs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 objects. Such rules when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at a like meeting and in like manner, be altered, added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to, amended or rescinded subject however to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(2).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rule of the Corporation made under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altered, added to, amended or rescinded except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 of three-fourths of the members present and voting at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Meeting and unless such alteration, addition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amendment or rescission, shall have been previously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Committee of Management.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rules of the association in force on the day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shall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ruels of the Corporation made under this section insofar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they are not inconsistent with the provisions of this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8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Corporation shall be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rules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194"/>
        <w:ind w:left="25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United Christian Fellowship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properties movable or immovable in the name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&amp;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Association United Christian Fellowship shall be deemed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properties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vest in the Corporation of United Christian Fellowship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held by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Association.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capable in law, to acquire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 any property, movable or immovable which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vested in it by virtue of any purchase, grant, gift,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 or otherwise and all such property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by the Corporation for the purposes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shall, subject to the rules of the Corporation, have full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How the seal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two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Committee of Management who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to be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 their names to the instrument in token of their presence,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affixed.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signing shall be independent of the signing of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Republic, or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or of any other persons,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Act,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3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United Christian Fellowship of Sri Lanka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424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