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02, 2021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05.07.2021)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8" w:after="0"/>
        <w:ind w:left="20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MILCO MILK PRODUCERS’ FOUNDATION</w:t>
      </w:r>
    </w:p>
    <w:p>
      <w:pPr>
        <w:autoSpaceDN w:val="0"/>
        <w:autoSpaceDE w:val="0"/>
        <w:widowControl/>
        <w:spacing w:line="238" w:lineRule="auto" w:before="16" w:after="0"/>
        <w:ind w:left="0" w:right="33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36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5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60" w:after="0"/>
        <w:ind w:left="0" w:right="21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Milco Milk Producers’ Foundation</w:t>
      </w:r>
    </w:p>
    <w:p>
      <w:pPr>
        <w:autoSpaceDN w:val="0"/>
        <w:autoSpaceDE w:val="0"/>
        <w:widowControl/>
        <w:spacing w:line="238" w:lineRule="auto" w:before="198" w:after="0"/>
        <w:ind w:left="19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Samanpriya Herath, M.P.</w:t>
      </w:r>
    </w:p>
    <w:p>
      <w:pPr>
        <w:autoSpaceDN w:val="0"/>
        <w:autoSpaceDE w:val="0"/>
        <w:widowControl/>
        <w:spacing w:line="235" w:lineRule="auto" w:before="0" w:after="0"/>
        <w:ind w:left="0" w:right="34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Kurunegala District</w:t>
      </w:r>
    </w:p>
    <w:p>
      <w:pPr>
        <w:autoSpaceDN w:val="0"/>
        <w:autoSpaceDE w:val="0"/>
        <w:widowControl/>
        <w:spacing w:line="238" w:lineRule="auto" w:before="208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Milco Milk Producers’ Foundation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ILCO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ILK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RODUCERS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“Milco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Milk Producers’ Foundation” has  heretofore been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    Sri Lanka for the purpose of effectually  carrying out 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said application :</w:t>
      </w:r>
    </w:p>
    <w:p>
      <w:pPr>
        <w:autoSpaceDN w:val="0"/>
        <w:autoSpaceDE w:val="0"/>
        <w:widowControl/>
        <w:spacing w:line="247" w:lineRule="auto" w:before="26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Milco Milk Producers’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of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now are members of the Milco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Milco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Milk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Milk Producers’ Foundation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Producers’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and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hereby constituted shall have 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 under the name and style of the Milco Milk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Producers’ Foundation (hereafter  referred to as the “body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 and by that name may sue and be sued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authority to have, and use a common seal and </w:t>
      </w: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exact" w:before="2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body corporate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0" w:val="left"/>
          <w:tab w:pos="3466" w:val="left"/>
        </w:tabs>
        <w:autoSpaceDE w:val="0"/>
        <w:widowControl/>
        <w:spacing w:line="228" w:lineRule="exact" w:before="38" w:after="184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develop milk production as a successful economic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venture and thereby to uplift the living standards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Foundation and promote economic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30" w:after="170"/>
        <w:ind w:left="19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collaborate with the Milco Private Limited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benefit of the members of the Foundation;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2" w:right="1152" w:hanging="3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formulate the necessary structure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to receive benefits through its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participation in the promotion of local milk industry;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30" w:after="0"/>
        <w:ind w:left="19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all necessary measures to produce pure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high quality milk;</w:t>
      </w:r>
    </w:p>
    <w:p>
      <w:pPr>
        <w:autoSpaceDN w:val="0"/>
        <w:autoSpaceDE w:val="0"/>
        <w:widowControl/>
        <w:spacing w:line="235" w:lineRule="auto" w:before="230" w:after="2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provide necessary advice and assistance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to ensure and economically successful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effective milk production; and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5" w:lineRule="auto" w:before="170" w:after="170"/>
        <w:ind w:left="19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necessary facilities for the sale of milk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Milco Private Limited.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8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 rules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7, the management and administration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consisting of such number of office bearers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and the Secretary, elected or appointed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82"/>
        <w:ind w:left="276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0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Council of the Foundation holding office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 shall, subject to the rules made under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function as an Interim Council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until the first Council is appointed or elected in the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for by rules made under section 7.</w:t>
            </w:r>
          </w:p>
          <w:p>
            <w:pPr>
              <w:autoSpaceDN w:val="0"/>
              <w:autoSpaceDE w:val="0"/>
              <w:widowControl/>
              <w:spacing w:line="245" w:lineRule="auto" w:before="22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Subject to the provisions of section 7, the 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shall have the power to make rules for the  interim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administration of the body corporate and for election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appointment of the members of the first Council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inconsistent with the provisions of this Act or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62" w:after="16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 Interim Council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0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1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first Council shall be appointed or elected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year of the date of commencement of this Act.</w:t>
            </w:r>
          </w:p>
          <w:p>
            <w:pPr>
              <w:autoSpaceDN w:val="0"/>
              <w:autoSpaceDE w:val="0"/>
              <w:widowControl/>
              <w:spacing w:line="245" w:lineRule="auto" w:before="22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Every office bearer of the Council including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patrons and advisers, if any, shall be appointed or elected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period of three years and any such office bearer, patron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advisor shall be elegible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lapse of the said period of three years.</w:t>
            </w:r>
          </w:p>
          <w:p>
            <w:pPr>
              <w:autoSpaceDN w:val="0"/>
              <w:autoSpaceDE w:val="0"/>
              <w:widowControl/>
              <w:spacing w:line="245" w:lineRule="auto" w:before="22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 the event of a vacancy occurring due to the death,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resignation incapacity or removal from office of an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bearer, the Council shall, having regard to the 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corporate, elect or appoint a person to fill such vacancy.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16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 person elected or appointed under paragraph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(b)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the following acts for the achievement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objects of the body corporate:—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consent of the Chairperson of Milco,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construct, renovate, rent and  otherwise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0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6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 which may be required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and to deal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dispose of the same as may be deemed expedient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7" w:lineRule="auto" w:before="27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enter into and perform or carry out, whether 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body corporate,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autoSpaceDE w:val="0"/>
        <w:widowControl/>
        <w:spacing w:line="252" w:lineRule="auto" w:before="272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7" w:lineRule="auto" w:before="27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Porvided that, the council shall obtain the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grants, gifts or donations made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52" w:lineRule="auto" w:before="274" w:after="0"/>
        <w:ind w:left="2422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and maintain working committees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farmer societies in areas as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for the purposes of this Act;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57" w:lineRule="auto" w:before="27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bank as may be determined by the Council;</w:t>
      </w:r>
    </w:p>
    <w:p>
      <w:pPr>
        <w:autoSpaceDN w:val="0"/>
        <w:autoSpaceDE w:val="0"/>
        <w:widowControl/>
        <w:spacing w:line="238" w:lineRule="auto" w:before="272" w:after="0"/>
        <w:ind w:left="20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to invest any funds that are not immediately required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corporate,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as may be determined by the Council;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76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72" w:after="218"/>
        <w:ind w:left="213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57" w:lineRule="auto" w:before="2" w:after="21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 and allowances and gratuities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determined 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or foreign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78" w:after="218"/>
        <w:ind w:left="21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officers and servants for the purposes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lawful things as are necessary or</w:t>
            </w:r>
          </w:p>
        </w:tc>
      </w:tr>
    </w:tbl>
    <w:p>
      <w:pPr>
        <w:autoSpaceDN w:val="0"/>
        <w:autoSpaceDE w:val="0"/>
        <w:widowControl/>
        <w:spacing w:line="250" w:lineRule="auto" w:before="8" w:after="21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for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annual general meeting of the body corporate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a majority of not less than two - thirds of the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21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fees payable by such members;</w:t>
      </w:r>
    </w:p>
    <w:p>
      <w:pPr>
        <w:autoSpaceDN w:val="0"/>
        <w:tabs>
          <w:tab w:pos="2132" w:val="left"/>
          <w:tab w:pos="251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Council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remuneration of the  office bearers;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0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66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functions, duties and  remuneration of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officers and servants of the body corporate;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2" w:lineRule="auto" w:before="26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in the summoning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body corporate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Council, or notices and agenda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47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qualifications and disqualifications to be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 and the body corporate;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corporate;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functions, duties and any matter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working committees and farmer societies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the Council; and</w:t>
      </w:r>
    </w:p>
    <w:p>
      <w:pPr>
        <w:autoSpaceDN w:val="0"/>
        <w:autoSpaceDE w:val="0"/>
        <w:widowControl/>
        <w:spacing w:line="250" w:lineRule="auto" w:before="264" w:after="0"/>
        <w:ind w:left="2422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generally,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autoSpaceDN w:val="0"/>
        <w:tabs>
          <w:tab w:pos="1702" w:val="left"/>
          <w:tab w:pos="1942" w:val="left"/>
          <w:tab w:pos="2396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like manner, as a rule made under subsection (1).</w:t>
      </w:r>
    </w:p>
    <w:p>
      <w:pPr>
        <w:autoSpaceDN w:val="0"/>
        <w:autoSpaceDE w:val="0"/>
        <w:widowControl/>
        <w:spacing w:line="250" w:lineRule="auto" w:before="2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p>
      <w:pPr>
        <w:autoSpaceDN w:val="0"/>
        <w:tabs>
          <w:tab w:pos="1942" w:val="left"/>
          <w:tab w:pos="2294" w:val="left"/>
          <w:tab w:pos="6622" w:val="left"/>
        </w:tabs>
        <w:autoSpaceDE w:val="0"/>
        <w:widowControl/>
        <w:spacing w:line="247" w:lineRule="auto" w:before="266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 shall maintain a register of members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name, address and other essential details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members</w:t>
      </w:r>
    </w:p>
    <w:p>
      <w:pPr>
        <w:autoSpaceDN w:val="0"/>
        <w:autoSpaceDE w:val="0"/>
        <w:widowControl/>
        <w:spacing w:line="238" w:lineRule="auto" w:before="2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84"/>
        <w:ind w:left="276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 have its own Fund.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donations, subscriptions, fees or grants for and on account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shall be deposited in one or more banks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council to the credit of the body corporte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6(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sums of money lying to the credit of the Milco </w:t>
      </w:r>
      <w:r>
        <w:rPr>
          <w:rFonts w:ascii="Times" w:hAnsi="Times" w:eastAsia="Times"/>
          <w:b w:val="0"/>
          <w:i w:val="0"/>
          <w:color w:val="221F1F"/>
          <w:sz w:val="20"/>
        </w:rPr>
        <w:t>Milk Farmers’ Community Protection Fund (hereinafter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“Fund”) shall from the date of coming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this Act, be credited to the Fund of the body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>money as are required to defray any expenditure incurred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 corporate in the exercise, performance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such body corporate.</w:t>
      </w:r>
    </w:p>
    <w:p>
      <w:pPr>
        <w:autoSpaceDN w:val="0"/>
        <w:autoSpaceDE w:val="0"/>
        <w:widowControl/>
        <w:spacing w:line="245" w:lineRule="auto" w:before="21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Auditor-General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Auditor-General in terms of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Article 154 of the Constitution and be certified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Auditor-General or such qualified auditor.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7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establishment by law,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Accountant, issued by the Council of such</w:t>
      </w:r>
    </w:p>
    <w:p>
      <w:pPr>
        <w:autoSpaceDN w:val="0"/>
        <w:autoSpaceDE w:val="0"/>
        <w:widowControl/>
        <w:spacing w:line="235" w:lineRule="auto" w:before="36" w:after="0"/>
        <w:ind w:left="0" w:right="53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0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662" w:val="left"/>
        </w:tabs>
        <w:autoSpaceDE w:val="0"/>
        <w:widowControl/>
        <w:spacing w:line="250" w:lineRule="auto" w:before="278" w:after="4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 or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Accountant, issued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8"/>
        <w:ind w:left="0" w:right="3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Council shall prepare a report of the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boby corporate for each financial year and submit such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Auditor-General or qualified auditor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 to the Secretary of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and to the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Voluntary Social Services Organizations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Voluntary Social Services Organizations (Registration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Supervision) Act,  No. 31 of 1980 before the expiration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six months of the year succeeding the year to which such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autoSpaceDE w:val="0"/>
        <w:widowControl/>
        <w:spacing w:line="245" w:lineRule="auto" w:before="248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>and local Funds received by the body corporate during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shall be attached to the report referred to in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debts and liabilities of the Foundation existing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 and subscriptions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Foundation on that day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8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and immovable,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virture of any purchase, grant, gift, testamentary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 of this Act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made under section 7, with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exchange,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202"/>
        <w:ind w:left="276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Milco Milk Producers’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 shall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51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applied solely towards the promotion of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and no portion thereof shall be paid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transferred directly or indirectly by way of dividend, bonus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profit or otherwise to the members of the body corporate.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except in the presence of the Chairperson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Secretary who shall sign their names to the instrument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p>
      <w:pPr>
        <w:autoSpaceDN w:val="0"/>
        <w:autoSpaceDE w:val="0"/>
        <w:widowControl/>
        <w:spacing w:line="254" w:lineRule="auto" w:before="272" w:after="2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officer bearer of the Council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preperty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any other institution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their members.</w:t>
      </w:r>
    </w:p>
    <w:p>
      <w:pPr>
        <w:autoSpaceDN w:val="0"/>
        <w:autoSpaceDE w:val="0"/>
        <w:widowControl/>
        <w:spacing w:line="257" w:lineRule="auto" w:before="278" w:after="1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9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Milco Milk Producers’ Foundation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8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