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PHARMACEUTICAL SOCIETY OF SRI LANKA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396" w:lineRule="auto" w:before="352" w:after="0"/>
        <w:ind w:left="2016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Pharmaceutical Society of Sri Lanka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Madhura Withanage, M.P.</w:t>
      </w:r>
    </w:p>
    <w:p>
      <w:pPr>
        <w:autoSpaceDN w:val="0"/>
        <w:autoSpaceDE w:val="0"/>
        <w:widowControl/>
        <w:spacing w:line="420" w:lineRule="auto" w:before="14" w:after="246"/>
        <w:ind w:left="2592" w:right="273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Colombo District on 06th of July, 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June 28, 2021)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55]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26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SRI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0" w:val="left"/>
        </w:tabs>
        <w:autoSpaceDE w:val="0"/>
        <w:widowControl/>
        <w:spacing w:line="235" w:lineRule="auto" w:before="70" w:after="0"/>
        <w:ind w:left="13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32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Pharmaceutical Society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HARMACEUTICAL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OCIETY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2" w:lineRule="auto" w:before="282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society called and known as the “Pharmaceutical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Society of Sri Lanka” has  heretofore been established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 carrying out 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concerned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Society according to the rules agreed to by its members :</w:t>
      </w:r>
    </w:p>
    <w:p>
      <w:pPr>
        <w:autoSpaceDN w:val="0"/>
        <w:autoSpaceDE w:val="0"/>
        <w:widowControl/>
        <w:spacing w:line="259" w:lineRule="auto" w:before="27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Society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formed and has  applied to be incorporated and </w:t>
      </w:r>
      <w:r>
        <w:rPr>
          <w:rFonts w:ascii="Times" w:hAnsi="Times" w:eastAsia="Times"/>
          <w:b w:val="0"/>
          <w:i w:val="0"/>
          <w:color w:val="221F1F"/>
          <w:sz w:val="20"/>
        </w:rPr>
        <w:t>it will be for public advantage to grant the application :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80" w:after="19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Pharmaceutical Society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Sri Lanka 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such and so many persons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Pharmaceutical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Pharmaceutical Society of Sri Lanka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Society of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“Society”) and shall hereafter be admitted as members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hereby constituted shall have  perpetual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the Pharmaceutical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Society of Sri Lanka (hereafter  referred to as the “body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 and by that name may sue be sued with full 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authority to have, and use a common seal and alter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exact" w:before="220" w:after="0"/>
        <w:ind w:left="145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202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75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8" w:val="left"/>
              </w:tabs>
              <w:autoSpaceDE w:val="0"/>
              <w:widowControl/>
              <w:spacing w:line="377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promote and advance the science of Pharmacy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its applications in Sri Lanka;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52" w:lineRule="auto" w:before="2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the acquiring, disseminating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interchanging of pharmaceutical knowledge;</w:t>
      </w:r>
    </w:p>
    <w:p>
      <w:pPr>
        <w:autoSpaceDN w:val="0"/>
        <w:autoSpaceDE w:val="0"/>
        <w:widowControl/>
        <w:spacing w:line="235" w:lineRule="auto" w:before="266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education in pharmacy at all levels;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6" w:after="0"/>
        <w:ind w:left="19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encourage basic researches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pharmacy;</w:t>
      </w:r>
    </w:p>
    <w:p>
      <w:pPr>
        <w:autoSpaceDN w:val="0"/>
        <w:tabs>
          <w:tab w:pos="1962" w:val="left"/>
          <w:tab w:pos="230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ensure the maintenance of high standards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activities and the general conduct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4" w:after="0"/>
        <w:ind w:left="19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with other scientific and professional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 and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47" w:lineRule="auto" w:before="268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enhance the status of the profession of pharmacy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3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 rules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7, the management and administration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consisting of such number of office bearers as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elected or appointed in accordance with the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Council of the Society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function subject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as an Interim Council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until the first Council is appointed or elected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provided for by rules made under section 7.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section 7, the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have the power to make rules in respect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administration of the body corporate not inconsistent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 or any other written law.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2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 Interim Committee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majority of its members present at such meeting.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The first Council of the body corporate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or elected within one year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for a period of one year and any such office bearer, </w:t>
      </w:r>
      <w:r>
        <w:rPr>
          <w:rFonts w:ascii="Times" w:hAnsi="Times" w:eastAsia="Times"/>
          <w:b w:val="0"/>
          <w:i w:val="0"/>
          <w:color w:val="221F1F"/>
          <w:sz w:val="20"/>
        </w:rPr>
        <w:t>patron or advisor shall be elegible for re-appointment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re-election. The president shall hold office for a maximum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two years.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elected or appointed under paragraph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(b)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hold office only for the unexpired portion of the term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acts for the achievement of the objects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including the power:—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acquire, rent, construct, renovate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otherwise obtain lands or building which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9" w:lineRule="auto" w:before="27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1410" w:val="left"/>
          <w:tab w:pos="2038" w:val="left"/>
          <w:tab w:pos="2422" w:val="left"/>
        </w:tabs>
        <w:autoSpaceDE w:val="0"/>
        <w:widowControl/>
        <w:spacing w:line="276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enter into, perform or carry out, whether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any officer or agent authorized in that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autoSpaceDE w:val="0"/>
        <w:widowControl/>
        <w:spacing w:line="264" w:lineRule="auto" w:before="294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69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Porvided that, the council shall obtain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grants, gifts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corporate.</w:t>
      </w:r>
    </w:p>
    <w:p>
      <w:pPr>
        <w:autoSpaceDN w:val="0"/>
        <w:autoSpaceDE w:val="0"/>
        <w:widowControl/>
        <w:spacing w:line="257" w:lineRule="auto" w:before="310" w:after="0"/>
        <w:ind w:left="2422" w:right="2448" w:hanging="38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buy, sell and issue bills of exchange, cheques,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66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corporate,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the Council may determine;</w:t>
      </w:r>
    </w:p>
    <w:p>
      <w:pPr>
        <w:autoSpaceDN w:val="0"/>
        <w:autoSpaceDE w:val="0"/>
        <w:widowControl/>
        <w:spacing w:line="269" w:lineRule="auto" w:before="304" w:after="0"/>
        <w:ind w:left="2422" w:right="2516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 perform and administer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promoting the objects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6"/>
        <w:ind w:left="21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exercise disciplinary control over them and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such salaries and allowances as may be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body corporate;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lectures, seminars and conferences with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or foreign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having similar objects to that of the body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2" w:after="182"/>
        <w:ind w:left="21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the members, officers and servants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abroad for the purposes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 any committee as and when necessary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any functions of the body corporate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Council;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2" w:after="174"/>
        <w:ind w:left="21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do such acts and things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achievement of the 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of the body corporate and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majority of not less than two thirds of the members persent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0" w:lineRule="auto" w:before="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rules, not inconsistent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for all or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 :—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42" w:after="138"/>
        <w:ind w:left="21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such members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Council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bearers and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7" w:lineRule="auto" w:before="266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of various officers and servants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9" w:lineRule="auto" w:before="28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in the summoning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council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notices and agendas of such meetings,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57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qualifications and disqualifications to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Council or any other Committee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6" w:after="0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corporate;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6" w:after="226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generally,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and 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body corporate may be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like manner, as a rule made under subsection (1)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84" w:after="22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which the name, address and other relevant details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inscribed.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27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gift, bequest, donation,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fees or grant for and on account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be deposited to the credit of the body corporte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one or more banks approved by the council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6(c).</w:t>
      </w:r>
    </w:p>
    <w:p>
      <w:pPr>
        <w:autoSpaceDN w:val="0"/>
        <w:autoSpaceDE w:val="0"/>
        <w:widowControl/>
        <w:spacing w:line="276" w:lineRule="auto" w:before="326" w:after="2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to defray any expenditure incurred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first day of April to thirty first day of March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folowing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such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Auditor-General or a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Auditor-General in terms of Article 154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Constitution and certified by the Auditor-General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qualified auditor.</w:t>
      </w:r>
    </w:p>
    <w:p>
      <w:pPr>
        <w:autoSpaceDN w:val="0"/>
        <w:tabs>
          <w:tab w:pos="2038" w:val="left"/>
        </w:tabs>
        <w:autoSpaceDE w:val="0"/>
        <w:widowControl/>
        <w:spacing w:line="262" w:lineRule="auto" w:before="32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p>
      <w:pPr>
        <w:autoSpaceDN w:val="0"/>
        <w:tabs>
          <w:tab w:pos="2352" w:val="left"/>
          <w:tab w:pos="275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establishment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662" w:val="left"/>
        </w:tabs>
        <w:autoSpaceDE w:val="0"/>
        <w:widowControl/>
        <w:spacing w:line="276" w:lineRule="auto" w:before="278" w:after="0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Institute established by law, possesses a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5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Council of such Institute.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62" w:lineRule="auto" w:before="326" w:after="0"/>
        <w:ind w:left="170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Council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boby corporate for each finacial year and submit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report</w:t>
      </w:r>
    </w:p>
    <w:p>
      <w:pPr>
        <w:autoSpaceDN w:val="0"/>
        <w:tabs>
          <w:tab w:pos="1702" w:val="left"/>
        </w:tabs>
        <w:autoSpaceDE w:val="0"/>
        <w:widowControl/>
        <w:spacing w:line="281" w:lineRule="auto" w:before="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Auditor-General or any other qualified auditor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Ministry of the Minister assigned the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Health and to the Registrar of Voluntary Social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appointed under the Voluntary Social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(Registration and Supervision) Act,  No. 31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 before the expiration of six months of the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succeeding the year to which such report relates.</w:t>
      </w:r>
    </w:p>
    <w:p>
      <w:pPr>
        <w:autoSpaceDN w:val="0"/>
        <w:autoSpaceDE w:val="0"/>
        <w:widowControl/>
        <w:spacing w:line="271" w:lineRule="auto" w:before="326" w:after="25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debts and liabilities of the Society existing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immediately preceding the date of commencement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Society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Society on that day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body corporate for the purpose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and immovable,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virture of any purchase, grant,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Pharmaceutical Society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23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exchange,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President, Secretary and the Treasurer who shall sign their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to the instrument in token of their presence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signing shall be independent of the signing of any person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p>
      <w:pPr>
        <w:autoSpaceDN w:val="0"/>
        <w:autoSpaceDE w:val="0"/>
        <w:widowControl/>
        <w:spacing w:line="259" w:lineRule="auto" w:before="290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officer bearer of the Council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preperty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institution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body corporate, and which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shall be determined by the members of the body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Pharmaceutical Society of Sri Lanka</w:t>
      </w:r>
    </w:p>
    <w:p>
      <w:pPr>
        <w:autoSpaceDN w:val="0"/>
        <w:autoSpaceDE w:val="0"/>
        <w:widowControl/>
        <w:spacing w:line="235" w:lineRule="auto" w:before="2" w:after="194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Pharmaceutical Society of Sri Lanka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8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