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126" w:after="0"/>
        <w:ind w:left="0" w:right="329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16, 2021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19. 07. 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2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142" w:val="left"/>
        </w:tabs>
        <w:autoSpaceDE w:val="0"/>
        <w:widowControl/>
        <w:spacing w:line="245" w:lineRule="auto" w:before="182" w:after="0"/>
        <w:ind w:left="1522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4"/>
        </w:rPr>
        <w:t xml:space="preserve">SOUTH LANKA ACADEMY FOR TERTIARY </w:t>
      </w:r>
      <w:r>
        <w:rPr>
          <w:rFonts w:ascii="Times,Bold" w:hAnsi="Times,Bold" w:eastAsia="Times,Bold"/>
          <w:b/>
          <w:i w:val="0"/>
          <w:color w:val="000000"/>
          <w:sz w:val="24"/>
        </w:rPr>
        <w:t>EDUCATION AND LEADERSHIP (INCORPORATION)</w:t>
      </w:r>
    </w:p>
    <w:p>
      <w:pPr>
        <w:autoSpaceDN w:val="0"/>
        <w:autoSpaceDE w:val="0"/>
        <w:widowControl/>
        <w:spacing w:line="235" w:lineRule="auto" w:before="246" w:after="0"/>
        <w:ind w:left="0" w:right="350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5" w:lineRule="auto" w:before="276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292" w:after="0"/>
        <w:ind w:left="2592" w:right="244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the South Lanka Academy for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>Tertiary Education and Leadership</w:t>
      </w:r>
    </w:p>
    <w:p>
      <w:pPr>
        <w:autoSpaceDN w:val="0"/>
        <w:autoSpaceDE w:val="0"/>
        <w:widowControl/>
        <w:spacing w:line="245" w:lineRule="auto" w:before="354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Buddhika Pathirana, M. 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Matara District</w:t>
      </w:r>
    </w:p>
    <w:p>
      <w:pPr>
        <w:autoSpaceDN w:val="0"/>
        <w:autoSpaceDE w:val="0"/>
        <w:widowControl/>
        <w:spacing w:line="235" w:lineRule="auto" w:before="194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7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2" w:val="left"/>
        </w:tabs>
        <w:autoSpaceDE w:val="0"/>
        <w:widowControl/>
        <w:spacing w:line="235" w:lineRule="auto" w:before="12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0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South Lanka Academy for Tertiary Education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2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50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and Leadership (Incorporation)</w:t>
      </w:r>
    </w:p>
    <w:p>
      <w:pPr>
        <w:autoSpaceDN w:val="0"/>
        <w:autoSpaceDE w:val="0"/>
        <w:widowControl/>
        <w:spacing w:line="257" w:lineRule="auto" w:before="272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OUTH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CADEMY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ERTIARY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DUCATION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EADERSHIP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3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an Academy called and known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Preamble</w:t>
      </w:r>
    </w:p>
    <w:p>
      <w:pPr>
        <w:autoSpaceDN w:val="0"/>
        <w:tabs>
          <w:tab w:pos="1796" w:val="left"/>
        </w:tabs>
        <w:autoSpaceDE w:val="0"/>
        <w:widowControl/>
        <w:spacing w:line="271" w:lineRule="auto" w:before="38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“South Lanka Academy for Tertiary Education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Leadership” has heretofore been created for the purpose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effectually carrying out and transacting all objects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connected with the said Academy according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rules agreed to by its members:</w:t>
      </w:r>
    </w:p>
    <w:p>
      <w:pPr>
        <w:autoSpaceDN w:val="0"/>
        <w:tabs>
          <w:tab w:pos="1796" w:val="left"/>
        </w:tabs>
        <w:autoSpaceDE w:val="0"/>
        <w:widowControl/>
        <w:spacing w:line="271" w:lineRule="auto" w:before="308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Academy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incorporated and it will be for the public advantage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grant the application:</w:t>
      </w:r>
    </w:p>
    <w:p>
      <w:pPr>
        <w:autoSpaceDN w:val="0"/>
        <w:autoSpaceDE w:val="0"/>
        <w:widowControl/>
        <w:spacing w:line="259" w:lineRule="auto" w:before="308" w:after="24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South Lanka Academy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Tertiary Education and Leadership (Incorporation) Act,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24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South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Lanka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“South Lanka Academy for Tertiary Education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Academy for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Leadership” (hereinafter referred to as “the Academy”)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Tertiary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Education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hereafter be admitted as members of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constituted, shall be a body corporate with perpetual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Leadership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71" w:lineRule="auto" w:before="2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succession under the name and style of the “South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Academy for Tertiary Education and Leadership” (herein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referred to as “the Corporation”) and by that name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sue and be sued and shall have full power and authority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and use a common seal and to alter the same at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50" w:val="left"/>
          <w:tab w:pos="2782" w:val="left"/>
        </w:tabs>
        <w:autoSpaceDE w:val="0"/>
        <w:widowControl/>
        <w:spacing w:line="228" w:lineRule="exact" w:before="38" w:after="21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South Lanka Academy for Tertiary Education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and Leadership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Corporation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40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 to—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conduct academic lectures, seminars, exhibitions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64" w:lineRule="auto" w:before="20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related to intellectual development of people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executive action guidance and to organize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exhibitions, educational and propaganda activities;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0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establish library facilities and conduct training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programs of all types in the field of mass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communication (television, radio, internet,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4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newspapers and publications) and maintain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units;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69" w:lineRule="auto" w:before="30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identify the inherent talents of students and youth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rural, district and provincial levels in areas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sports, literature and art and to encourage them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excel in them by providing the 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infrastructure;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02" w:after="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identify projects suitable for young school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leavers and assist them by carrying out such projects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a view to training such youth to meet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competitive demands for future employment;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conduct awareness programmes for youth in order</w:t>
            </w:r>
          </w:p>
        </w:tc>
      </w:tr>
    </w:tbl>
    <w:p>
      <w:pPr>
        <w:autoSpaceDN w:val="0"/>
        <w:autoSpaceDE w:val="0"/>
        <w:widowControl/>
        <w:spacing w:line="264" w:lineRule="auto" w:before="18" w:after="24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promote a tobacco, alcohol and a drug free society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build a healthy, disciplined, patriotic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human generation;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take active measures for the preservation of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environment and balanced development;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0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encourage the farmers, fishermen and establish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young farmers, and fishermen’s organizations;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78" w:val="left"/>
          <w:tab w:pos="6518" w:val="left"/>
        </w:tabs>
        <w:autoSpaceDE w:val="0"/>
        <w:widowControl/>
        <w:spacing w:line="248" w:lineRule="exact" w:before="0" w:after="0"/>
        <w:ind w:left="23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South Lanka Academy for Tertiary Education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and Leadership (Incorporation)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60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utilize the labour of youth and adults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welfare of the general public and during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emergencies and national disasters;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foster and promote mutual understanding, a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spirit of national consciousness, goodwill and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1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friendship among the citizens of Sri Lanka and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promote peace and harmony among the Sinhala,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Tamil, Muslim and Burgher communities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religious harmony, mutual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0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understanding, peaceful co-existence, spiritual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and friendship among the people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through religious, cultural, social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economic interactions;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organize and mobilize people to deploy them in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voluntary activities in order to find solutions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shortcomings in infrastructure;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facilitate the exchange of delegations with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organizations having similar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view to building friendship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understanding between Sri Lanka and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countries;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12"/>
        <w:ind w:left="208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assemble and mobilize all groups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Academy with a view to promoting 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harmony and peace within Sri Lanka; and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such other acts, matters and things as are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incidental or conductive to the attainment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objectives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50" w:val="left"/>
          <w:tab w:pos="2782" w:val="left"/>
        </w:tabs>
        <w:autoSpaceDE w:val="0"/>
        <w:widowControl/>
        <w:spacing w:line="228" w:lineRule="exact" w:before="38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South Lanka Academy for Tertiary Education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and Leadership (Incorporation)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64" w:after="0"/>
        <w:ind w:left="1988" w:right="0" w:firstLine="0"/>
        <w:jc w:val="left"/>
      </w:pP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>(</w:t>
      </w:r>
      <w:r>
        <w:rPr>
          <w:w w:val="98.0952399117606"/>
          <w:rFonts w:ascii="Times,Italic" w:hAnsi="Times,Italic" w:eastAsia="Times,Italic"/>
          <w:b w:val="0"/>
          <w:i/>
          <w:color w:val="000000"/>
          <w:sz w:val="21"/>
        </w:rPr>
        <w:t>a</w:t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) </w:t>
      </w:r>
      <w:r>
        <w:tab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>open, operate and close bank accounts;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300" w:after="238"/>
        <w:ind w:left="1988" w:right="2448" w:firstLine="0"/>
        <w:jc w:val="left"/>
      </w:pP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>(</w:t>
      </w:r>
      <w:r>
        <w:rPr>
          <w:w w:val="98.0952399117606"/>
          <w:rFonts w:ascii="Times,Italic" w:hAnsi="Times,Italic" w:eastAsia="Times,Italic"/>
          <w:b w:val="0"/>
          <w:i/>
          <w:color w:val="000000"/>
          <w:sz w:val="21"/>
        </w:rPr>
        <w:t>b</w:t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) </w:t>
      </w:r>
      <w:r>
        <w:tab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borrow or raise money with or without security </w:t>
      </w:r>
      <w:r>
        <w:tab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>and to receive or collect grants and donations;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(</w:t>
            </w:r>
            <w:r>
              <w:rPr>
                <w:w w:val="98.0952399117606"/>
                <w:rFonts w:ascii="Times,Italic" w:hAnsi="Times,Italic" w:eastAsia="Times,Italic"/>
                <w:b w:val="0"/>
                <w:i/>
                <w:color w:val="000000"/>
                <w:sz w:val="21"/>
              </w:rPr>
              <w:t>c</w:t>
            </w: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invest any funds of the Corporation which are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not immediately required for the purpose of the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22" w:right="2448" w:firstLine="0"/>
        <w:jc w:val="left"/>
      </w:pP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Corporation in a way that may be determined by </w:t>
      </w:r>
      <w:r>
        <w:br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>the Committee of Management;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6" w:after="16"/>
        <w:ind w:left="1988" w:right="2448" w:firstLine="0"/>
        <w:jc w:val="left"/>
      </w:pP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>(</w:t>
      </w:r>
      <w:r>
        <w:rPr>
          <w:w w:val="98.0952399117606"/>
          <w:rFonts w:ascii="Times,Italic" w:hAnsi="Times,Italic" w:eastAsia="Times,Italic"/>
          <w:b w:val="0"/>
          <w:i/>
          <w:color w:val="000000"/>
          <w:sz w:val="21"/>
        </w:rPr>
        <w:t>d</w:t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) </w:t>
      </w:r>
      <w:r>
        <w:tab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purchase, acquire, give on lease or hire, sell or </w:t>
      </w:r>
      <w:r>
        <w:tab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>otherwise obtain any movable or immovable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442" w:right="1152" w:firstLine="0"/>
              <w:jc w:val="lef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 xml:space="preserve">property which may be required for the purpose </w:t>
            </w: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of the Corporation  and which may lawfully be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6"/>
        <w:ind w:left="2422" w:right="2516" w:firstLine="0"/>
        <w:jc w:val="both"/>
      </w:pP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acquired for those purposes and to deal with or </w:t>
      </w:r>
      <w:r>
        <w:br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dispose of the same, as it may deem expedient </w:t>
      </w:r>
      <w:r>
        <w:br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>with a view to promoting the objects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78" w:firstLine="0"/>
              <w:jc w:val="righ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(</w:t>
            </w:r>
            <w:r>
              <w:rPr>
                <w:w w:val="98.0952399117606"/>
                <w:rFonts w:ascii="Times,Italic" w:hAnsi="Times,Italic" w:eastAsia="Times,Italic"/>
                <w:b w:val="0"/>
                <w:i/>
                <w:color w:val="000000"/>
                <w:sz w:val="21"/>
              </w:rPr>
              <w:t>e</w:t>
            </w: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Corporation;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appoint, employ and dismiss the employees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8"/>
        <w:ind w:left="2422" w:right="2516" w:firstLine="0"/>
        <w:jc w:val="both"/>
      </w:pP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required for the carrying out of the objects of </w:t>
      </w:r>
      <w:r>
        <w:br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the Corporation and pay them such remuneration </w:t>
      </w:r>
      <w:r>
        <w:br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>as may be determined by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(</w:t>
            </w:r>
            <w:r>
              <w:rPr>
                <w:w w:val="98.0952399117606"/>
                <w:rFonts w:ascii="Times,Italic" w:hAnsi="Times,Italic" w:eastAsia="Times,Italic"/>
                <w:b w:val="0"/>
                <w:i/>
                <w:color w:val="000000"/>
                <w:sz w:val="21"/>
              </w:rPr>
              <w:t>f</w:t>
            </w: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enter into, perform or carry out, whether directly</w:t>
            </w:r>
          </w:p>
        </w:tc>
      </w:tr>
    </w:tbl>
    <w:p>
      <w:pPr>
        <w:autoSpaceDN w:val="0"/>
        <w:autoSpaceDE w:val="0"/>
        <w:widowControl/>
        <w:spacing w:line="262" w:lineRule="auto" w:before="18" w:after="12"/>
        <w:ind w:left="2422" w:right="2516" w:firstLine="0"/>
        <w:jc w:val="both"/>
      </w:pP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or through any officer or agent authorized in that </w:t>
      </w:r>
      <w:r>
        <w:br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behalf of the Corporation, all such contracts or </w:t>
      </w:r>
      <w:r>
        <w:br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agreements as may be necessary for the attainment </w:t>
      </w:r>
      <w:r>
        <w:br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>of the objects of the exercise of the powers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78" w:firstLine="0"/>
              <w:jc w:val="righ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(</w:t>
            </w:r>
            <w:r>
              <w:rPr>
                <w:w w:val="98.0952399117606"/>
                <w:rFonts w:ascii="Times,Italic" w:hAnsi="Times,Italic" w:eastAsia="Times,Italic"/>
                <w:b w:val="0"/>
                <w:i/>
                <w:color w:val="000000"/>
                <w:sz w:val="21"/>
              </w:rPr>
              <w:t>g</w:t>
            </w: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the Corporation;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02" w:right="0" w:firstLine="0"/>
              <w:jc w:val="lef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appoint, advisory councils, committees or sub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422" w:right="2516" w:firstLine="0"/>
        <w:jc w:val="both"/>
      </w:pP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committees as and when necessary to carry out </w:t>
      </w:r>
      <w:r>
        <w:br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any functions of the Corporation as may be </w:t>
      </w:r>
      <w:r>
        <w:br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>determined by the Committee Management.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78" w:val="left"/>
          <w:tab w:pos="6518" w:val="left"/>
        </w:tabs>
        <w:autoSpaceDE w:val="0"/>
        <w:widowControl/>
        <w:spacing w:line="248" w:lineRule="exact" w:before="0" w:after="190"/>
        <w:ind w:left="23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South Lanka Academy for Tertiary Education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and Leadership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6" w:firstLine="0"/>
              <w:jc w:val="right"/>
            </w:pPr>
            <w:r>
              <w:rPr>
                <w:w w:val="98.0952399117606"/>
                <w:rFonts w:ascii="Times,Bold" w:hAnsi="Times,Bold" w:eastAsia="Times,Bold"/>
                <w:b/>
                <w:i w:val="0"/>
                <w:color w:val="221F1F"/>
                <w:sz w:val="21"/>
              </w:rPr>
              <w:t>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26" w:right="0" w:firstLine="0"/>
              <w:jc w:val="lef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221F1F"/>
                <w:sz w:val="21"/>
              </w:rPr>
              <w:t>(1) The management of the affairs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221F1F"/>
                <w:sz w:val="21"/>
              </w:rPr>
              <w:t>Corporation shall be subject to the rules of the Corporation,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221F1F"/>
                <w:sz w:val="21"/>
              </w:rPr>
              <w:t>be done by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Committee of Management consisting of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more than six office bearers inclusive of the Chairman /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Managing Director, Sectary, Trasura and such number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as may  be provided or in rules and elected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therewith.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act or proceeding of the Committee of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be invalid by reason only of the existence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vacancy among its members or any defect on the election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nomination of a member thereof.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80" w:after="20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first Committee of Management shall consist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Committee of Management holding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day immediately preceding the date of commencement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shall continue to hold office until a new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Management is elected in accordance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rules made under section 6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and by a majority of not less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two-thirds of the members present to make rules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the provisions of this Act,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written law, on all or any of the following matters:—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classification of members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resignation or expulsion of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election of the office-bearers, the resignation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from, vacation of or removal from office of office-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bearers, and their powers, conduct and duties;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election of the members of the Committee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and its powers, duties and conduct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terms of office of members of the 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Management;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50" w:val="left"/>
          <w:tab w:pos="2782" w:val="left"/>
        </w:tabs>
        <w:autoSpaceDE w:val="0"/>
        <w:widowControl/>
        <w:spacing w:line="228" w:lineRule="exact" w:before="38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South Lanka Academy for Tertiary Education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and Leadership (Incorporation)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powers, duties, functions and conduct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officers, agents and servants of the Corporation;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64" w:lineRule="auto" w:before="292" w:after="0"/>
        <w:ind w:left="14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procedure to be observed at and the summoning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holding of meetings of the Committee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Management, the times, places, notices and agenda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meetings, the quorum thereof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conduct of business thereat;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2" w:after="1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Corporation the custody of its funds,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maintenance and audit of its accounts; and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management of the affairs of the Corporation,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the accomplishment of its objects.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9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Corporation may be amended,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or rescinded at a like meeting and in the like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manner, as a rule made under subsection (1).</w:t>
      </w:r>
    </w:p>
    <w:p>
      <w:pPr>
        <w:autoSpaceDN w:val="0"/>
        <w:tabs>
          <w:tab w:pos="1942" w:val="left"/>
        </w:tabs>
        <w:autoSpaceDE w:val="0"/>
        <w:widowControl/>
        <w:spacing w:line="254" w:lineRule="auto" w:before="292" w:after="23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Corporation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of the Committee of Management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keep and maintain a register containing the names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members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5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Act,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able and capable in law to acquire and hold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both movable and immovable, which may become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in it by virtue of any purchase, grant,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disposition or otherwise, and all such property shall be held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Corporation for the purpose of  this Act and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rules of the Corporation made under section 6, with full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 to sell, mortgage, lease, exchange or otherwise dispose </w:t>
      </w:r>
      <w:r>
        <w:rPr>
          <w:rFonts w:ascii="Times" w:hAnsi="Times" w:eastAsia="Times"/>
          <w:b w:val="0"/>
          <w:i w:val="0"/>
          <w:color w:val="000000"/>
          <w:sz w:val="20"/>
        </w:rPr>
        <w:t>of the same.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78" w:val="left"/>
          <w:tab w:pos="6518" w:val="left"/>
        </w:tabs>
        <w:autoSpaceDE w:val="0"/>
        <w:widowControl/>
        <w:spacing w:line="248" w:lineRule="exact" w:before="0" w:after="188"/>
        <w:ind w:left="23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South Lanka Academy for Tertiary Education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and Leadership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 shall have its own fund and all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3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monies heretofore or hereafter to be received by way of gifts,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testamentary dispositions, grants, donations or contributions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fees on behalf of the Corporation shall be deposited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credit of the Fund of the Corporation in one or more banks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as the Committee of Management may determine.</w:t>
      </w:r>
    </w:p>
    <w:p>
      <w:pPr>
        <w:autoSpaceDN w:val="0"/>
        <w:autoSpaceDE w:val="0"/>
        <w:widowControl/>
        <w:spacing w:line="245" w:lineRule="auto" w:before="242" w:after="18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Corporation may establish a depreciation fund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sinking fund for the purpose of rehabilitation, development </w:t>
      </w:r>
      <w:r>
        <w:rPr>
          <w:rFonts w:ascii="Times" w:hAnsi="Times" w:eastAsia="Times"/>
          <w:b w:val="0"/>
          <w:i w:val="0"/>
          <w:color w:val="000000"/>
          <w:sz w:val="20"/>
        </w:rPr>
        <w:t>or improvement of the property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There shall be paid out of the Fund all sums of money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defray any expenditure incurred by the Corporation in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exercise, performance and discharge of its powers, duties </w:t>
      </w:r>
      <w:r>
        <w:rPr>
          <w:rFonts w:ascii="Times" w:hAnsi="Times" w:eastAsia="Times"/>
          <w:b w:val="0"/>
          <w:i w:val="0"/>
          <w:color w:val="000000"/>
          <w:sz w:val="20"/>
        </w:rPr>
        <w:t>and functions under this Act.</w:t>
      </w:r>
    </w:p>
    <w:p>
      <w:pPr>
        <w:autoSpaceDN w:val="0"/>
        <w:autoSpaceDE w:val="0"/>
        <w:widowControl/>
        <w:spacing w:line="238" w:lineRule="auto" w:before="240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The financial year of the Corporation shall be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Academy existing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proceeding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and discharged by the Corporation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Academy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and all debts due to, subscriptions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contributions payable to the Academy on that day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9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to the Corporation for the purpose of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Limitation of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shall for the purpose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discharging the debts and liabilities of the Corporation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liabilities of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other purpose, be liable to make any contribution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the amount due from such member as membership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fees.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335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cause proper accounts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kept of its income and expenditure, assets and liabilities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all other transactions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45" w:lineRule="auto" w:before="60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 The accounts of the Corporation shall be audited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qualified auditor.</w:t>
            </w:r>
          </w:p>
        </w:tc>
      </w:tr>
    </w:tbl>
    <w:p>
      <w:pPr>
        <w:autoSpaceDN w:val="0"/>
        <w:autoSpaceDE w:val="0"/>
        <w:widowControl/>
        <w:spacing w:line="235" w:lineRule="auto" w:before="18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In this section, “qualified auditor” means —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50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South Lanka Academy for Tertiary Education</w:t>
      </w:r>
    </w:p>
    <w:p>
      <w:pPr>
        <w:autoSpaceDN w:val="0"/>
        <w:autoSpaceDE w:val="0"/>
        <w:widowControl/>
        <w:spacing w:line="235" w:lineRule="auto" w:before="2" w:after="184"/>
        <w:ind w:left="0" w:right="359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and Leadership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individual who being a member of the institute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Chartered Accountants of Sri Lanka, or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Institute established by law, possesses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certificate to practice as an Accountant issued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of such Institute;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 of Accountants each of the resident partners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which, being a member of the institute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Chartered Accountants of Sri Lanka or of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institute established by law, possesses a certificate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practice as an Accountant issued by the Council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Institute.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9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seal of the Corporation shall not be affixed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instrument whatsoever, except in the presence of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Chairman/Managing Director and the Secretary or two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Corporation as may be decided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of Management who shall sign their names to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instrument in token of their presence and such  signing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independent of the signing  of any person as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witness.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upon the dissolution of the Corporation, there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any property whatsoever, after the satisfaction of 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debts and liabilities, such property shall not be distributed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among the members of the Corporation, but shall be given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transferred to some other institution or institutions having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objects similar to those of the Corporation, and which is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by its rules prohibited from distributing  any income or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of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among its or their members. Such institution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institutions may be determined by the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of Management on or before the dissolution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contained  in this Act shall prejudice affect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rights of the Republic or any body politic or  corporate.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Republic</w:t>
            </w:r>
          </w:p>
        </w:tc>
      </w:tr>
    </w:tbl>
    <w:p>
      <w:pPr>
        <w:autoSpaceDN w:val="0"/>
        <w:autoSpaceDE w:val="0"/>
        <w:widowControl/>
        <w:spacing w:line="235" w:lineRule="auto" w:before="6" w:after="84"/>
        <w:ind w:left="0" w:right="16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and others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5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South Lanka Academy for Tertiary Education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50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and Leadership (Incorporation)</w:t>
      </w:r>
    </w:p>
    <w:p>
      <w:pPr>
        <w:autoSpaceDN w:val="0"/>
        <w:autoSpaceDE w:val="0"/>
        <w:widowControl/>
        <w:spacing w:line="235" w:lineRule="auto" w:before="8736" w:after="0"/>
        <w:ind w:left="0" w:right="31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