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16, 2021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20.07.2021)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92" w:after="0"/>
        <w:ind w:left="0" w:right="24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CODE OF CRIMINAL PROCEDURE</w:t>
      </w:r>
    </w:p>
    <w:p>
      <w:pPr>
        <w:autoSpaceDN w:val="0"/>
        <w:autoSpaceDE w:val="0"/>
        <w:widowControl/>
        <w:spacing w:line="238" w:lineRule="auto" w:before="66" w:after="0"/>
        <w:ind w:left="0" w:right="355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3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52" w:after="0"/>
        <w:ind w:left="194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5" w:lineRule="auto" w:before="516" w:after="0"/>
        <w:ind w:left="0" w:right="240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58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195 of the Code of Criminal Procedure Act, No.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15 of 1979 (hereinafter referred to as the principal enactment) and is consequential to the </w:t>
      </w:r>
      <w:r>
        <w:rPr>
          <w:rFonts w:ascii="Times" w:hAnsi="Times" w:eastAsia="Times"/>
          <w:b w:val="0"/>
          <w:i w:val="0"/>
          <w:color w:val="000000"/>
          <w:sz w:val="16"/>
        </w:rPr>
        <w:t>amendment made by clause 3.</w:t>
      </w:r>
    </w:p>
    <w:p>
      <w:pPr>
        <w:autoSpaceDN w:val="0"/>
        <w:autoSpaceDE w:val="0"/>
        <w:widowControl/>
        <w:spacing w:line="254" w:lineRule="auto" w:before="222" w:after="0"/>
        <w:ind w:left="1342" w:right="1436" w:firstLine="24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amends the principal enactment by inserting new section 195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that enactment, and the legal effect of the amendment is to make provision to hold </w:t>
      </w:r>
      <w:r>
        <w:rPr>
          <w:rFonts w:ascii="Times" w:hAnsi="Times" w:eastAsia="Times"/>
          <w:b w:val="0"/>
          <w:i w:val="0"/>
          <w:color w:val="000000"/>
          <w:sz w:val="16"/>
        </w:rPr>
        <w:t>pre-trial conferences at the High Court in order to conclude trials expeditiously.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2/2018</w:t>
      </w:r>
    </w:p>
    <w:p>
      <w:pPr>
        <w:autoSpaceDN w:val="0"/>
        <w:autoSpaceDE w:val="0"/>
        <w:widowControl/>
        <w:spacing w:line="250" w:lineRule="auto" w:before="276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50" w:lineRule="auto" w:before="27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6" w:after="216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Code of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Procedure(Amendment)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195 of the Code of Criminal Procedure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15 of 1979 (hereinafter referred to as the”principal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 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15 of</w:t>
            </w:r>
          </w:p>
        </w:tc>
      </w:tr>
    </w:tbl>
    <w:p>
      <w:pPr>
        <w:autoSpaceDN w:val="0"/>
        <w:tabs>
          <w:tab w:pos="2518" w:val="left"/>
          <w:tab w:pos="6718" w:val="left"/>
        </w:tabs>
        <w:autoSpaceDE w:val="0"/>
        <w:widowControl/>
        <w:spacing w:line="257" w:lineRule="auto" w:before="6" w:after="0"/>
        <w:ind w:left="216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1979 </w:t>
      </w:r>
      <w:r>
        <w:rPr>
          <w:rFonts w:ascii="Times" w:hAnsi="Times" w:eastAsia="Times"/>
          <w:b w:val="0"/>
          <w:i w:val="0"/>
          <w:color w:val="221F1F"/>
          <w:sz w:val="20"/>
        </w:rPr>
        <w:t>(1) by the substitution for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paragraph: -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5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 the accused and the aggrieved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of the date of the pre-trial conference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held under section 195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;”;</w:t>
      </w:r>
    </w:p>
    <w:p>
      <w:pPr>
        <w:autoSpaceDN w:val="0"/>
        <w:autoSpaceDE w:val="0"/>
        <w:widowControl/>
        <w:spacing w:line="238" w:lineRule="auto" w:before="276" w:after="216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ee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principal enactment is hereby amended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insertion immediately after section 195 thereof,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new section which shall have effect as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14" w:after="216"/>
        <w:ind w:left="0" w:right="33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“A-1- PRE-TRIAL CONFERENCES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Pre-trial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pre-trial conference shall be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conferences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held-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held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High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upon indictment being served on the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in terms of section 195,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presence of the accused;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038" w:val="left"/>
          <w:tab w:pos="3382" w:val="left"/>
          <w:tab w:pos="3384" w:val="left"/>
        </w:tabs>
        <w:autoSpaceDE w:val="0"/>
        <w:widowControl/>
        <w:spacing w:line="250" w:lineRule="auto" w:before="494" w:after="19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accused is not present due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reason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(1) of section 241,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it is not possible to serve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on the accused due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241,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absence of the accused.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4" w:val="left"/>
              </w:tabs>
              <w:autoSpaceDE w:val="0"/>
              <w:widowControl/>
              <w:spacing w:line="245" w:lineRule="auto" w:before="60" w:after="0"/>
              <w:ind w:left="62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 pre-trial conference shall be held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participation of-</w:t>
            </w:r>
          </w:p>
        </w:tc>
      </w:tr>
    </w:tbl>
    <w:p>
      <w:pPr>
        <w:autoSpaceDN w:val="0"/>
        <w:tabs>
          <w:tab w:pos="3038" w:val="left"/>
          <w:tab w:pos="3384" w:val="left"/>
        </w:tabs>
        <w:autoSpaceDE w:val="0"/>
        <w:widowControl/>
        <w:spacing w:line="250" w:lineRule="auto" w:before="194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Attorney-General with regard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instituted by the Attorney-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the Director-General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Bribery and Corruption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proceedings instituted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such Director-General, or an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by either the Attorney-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the 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“prosecuting counsel”)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be;</w:t>
      </w:r>
    </w:p>
    <w:p>
      <w:pPr>
        <w:autoSpaceDN w:val="0"/>
        <w:tabs>
          <w:tab w:pos="3384" w:val="left"/>
        </w:tabs>
        <w:autoSpaceDE w:val="0"/>
        <w:widowControl/>
        <w:spacing w:line="245" w:lineRule="auto" w:before="254" w:after="0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counsel, if any, appearing on behalf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accused;</w:t>
      </w:r>
    </w:p>
    <w:p>
      <w:pPr>
        <w:autoSpaceDN w:val="0"/>
        <w:tabs>
          <w:tab w:pos="3054" w:val="left"/>
          <w:tab w:pos="3384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aggrieved party or the counsel,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appearing on behalf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aggrieved party, on the application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aggrieved party or such counsel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participate in the pre-trial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conference;</w:t>
      </w:r>
    </w:p>
    <w:p>
      <w:pPr>
        <w:autoSpaceDN w:val="0"/>
        <w:tabs>
          <w:tab w:pos="3038" w:val="left"/>
          <w:tab w:pos="3384" w:val="left"/>
        </w:tabs>
        <w:autoSpaceDE w:val="0"/>
        <w:widowControl/>
        <w:spacing w:line="252" w:lineRule="auto" w:before="236" w:after="0"/>
        <w:ind w:left="13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officer in charge for the time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police station in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 respect of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conducted or an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representing him;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0"/>
        <w:ind w:left="347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Attorney-at-Law or any other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permitted by the Presiding Judge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participate.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5" w:lineRule="auto" w:before="24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pre-trial conference shall be held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of-</w:t>
      </w:r>
    </w:p>
    <w:p>
      <w:pPr>
        <w:autoSpaceDN w:val="0"/>
        <w:tabs>
          <w:tab w:pos="3132" w:val="left"/>
          <w:tab w:pos="3478" w:val="left"/>
        </w:tabs>
        <w:autoSpaceDE w:val="0"/>
        <w:widowControl/>
        <w:spacing w:line="245" w:lineRule="auto" w:before="23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prosecution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handed over to the accused,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material, the accused is legally entitled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receive, and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appropriate orders, by Court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regard;</w:t>
      </w:r>
    </w:p>
    <w:p>
      <w:pPr>
        <w:autoSpaceDN w:val="0"/>
        <w:autoSpaceDE w:val="0"/>
        <w:widowControl/>
        <w:spacing w:line="245" w:lineRule="auto" w:before="242" w:after="4"/>
        <w:ind w:left="347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accused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intends to plead guilty to any one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more of the charges in the indictment,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a lesser offence;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2"/>
        <w:ind w:left="347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providing an opportunity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to give advance notice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mitigatory or exculpatory defence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of an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alibi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9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inquiring from the accused whether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he elects to be tried by a jury, if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relates to an offence triable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a jury;</w:t>
      </w:r>
    </w:p>
    <w:p>
      <w:pPr>
        <w:autoSpaceDN w:val="0"/>
        <w:tabs>
          <w:tab w:pos="3146" w:val="left"/>
          <w:tab w:pos="3478" w:val="left"/>
        </w:tabs>
        <w:autoSpaceDE w:val="0"/>
        <w:widowControl/>
        <w:spacing w:line="245" w:lineRule="auto" w:before="24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reports of expert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 have been received by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served on the accused, and if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appropriate orders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regard;</w:t>
      </w:r>
    </w:p>
    <w:p>
      <w:pPr>
        <w:autoSpaceDN w:val="0"/>
        <w:autoSpaceDE w:val="0"/>
        <w:widowControl/>
        <w:spacing w:line="238" w:lineRule="auto" w:before="24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recording admissions of the accused,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any, including the admissions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reports of expert witnesses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content of such reports,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regard to the provisions of section 420;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5" w:lineRule="auto" w:before="494" w:after="0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pre-conditions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fulfilled to make certain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items of evidence admissible and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making orders in that regard;</w:t>
      </w:r>
    </w:p>
    <w:p>
      <w:pPr>
        <w:autoSpaceDN w:val="0"/>
        <w:tabs>
          <w:tab w:pos="3038" w:val="left"/>
          <w:tab w:pos="3382" w:val="left"/>
        </w:tabs>
        <w:autoSpaceDE w:val="0"/>
        <w:widowControl/>
        <w:spacing w:line="245" w:lineRule="auto" w:before="240" w:after="2"/>
        <w:ind w:left="139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from prosecuting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defence counsel, the approximate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duration of time that the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parties may require for presentation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respective cases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of witnesses in order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a day to day trial as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section 263;</w:t>
      </w:r>
    </w:p>
    <w:p>
      <w:pPr>
        <w:autoSpaceDN w:val="0"/>
        <w:autoSpaceDE w:val="0"/>
        <w:widowControl/>
        <w:spacing w:line="245" w:lineRule="auto" w:before="242" w:after="4"/>
        <w:ind w:left="338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presentation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cases of the prosecution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defence, may require additional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facilities which may not be ordinarily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 in court and for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appropriate orders in that regard;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45" w:lineRule="auto" w:before="24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the availability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productions, exhibits, any other real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evidence, reports, books, records,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material, which may be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prosecution and the defence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trial, and for making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orders in that regard;</w:t>
      </w:r>
    </w:p>
    <w:p>
      <w:pPr>
        <w:autoSpaceDN w:val="0"/>
        <w:autoSpaceDE w:val="0"/>
        <w:widowControl/>
        <w:spacing w:line="245" w:lineRule="auto" w:before="222" w:after="4"/>
        <w:ind w:left="338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evidence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or more witnesses is to be 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contemporaneous audio-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visual linkage, and if so, for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orders and arrangements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regard;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45" w:lineRule="auto" w:before="24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fixing a date as expeditiously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possible for the commencement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to day trial as specified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263;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2" w:lineRule="auto" w:before="496" w:after="10"/>
        <w:ind w:left="3478" w:right="2422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considering and making orders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other matter that may be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attended to, prior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the trial and that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9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facilitate the conduct of the day to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trial; and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34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taking any other decisions or steps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to ensure the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 lawful, fair and expeditious trial.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9" w:lineRule="auto" w:before="23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pre-trial conference shall be presided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 by the High Court Judge or the Recorder-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Judge as specified in section 5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Judicature Act, No. 2 of 1978.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endeavor shall be made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conclude a pre-trial conference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expeditiously as possible: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6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pre-trial conference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concluded within a period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months from the date on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appeared before the court or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appear before the court.</w:t>
      </w:r>
    </w:p>
    <w:p>
      <w:pPr>
        <w:autoSpaceDN w:val="0"/>
        <w:autoSpaceDE w:val="0"/>
        <w:widowControl/>
        <w:spacing w:line="250" w:lineRule="auto" w:before="266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pre-trial conference relating to a 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bar shall be held, only before the three judges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to hear the relevant case.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At the conclusion of a pre-trial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conference the Presiding judge shall-</w:t>
      </w:r>
    </w:p>
    <w:p>
      <w:pPr>
        <w:autoSpaceDN w:val="0"/>
        <w:autoSpaceDE w:val="0"/>
        <w:widowControl/>
        <w:spacing w:line="250" w:lineRule="auto" w:before="264" w:after="10"/>
        <w:ind w:left="34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read out and explain the decisions taken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pre-trial conference and record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fact that the parties do understand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contents of such decisions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decisions shall be signed by the Judge;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7" w:lineRule="auto" w:before="494" w:after="0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the officer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a report on the availability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witnesses.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54" w:after="0"/>
        <w:ind w:left="13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(8) For the purpose of this section-</w:t>
      </w:r>
    </w:p>
    <w:p>
      <w:pPr>
        <w:autoSpaceDN w:val="0"/>
        <w:autoSpaceDE w:val="0"/>
        <w:widowControl/>
        <w:spacing w:line="247" w:lineRule="auto" w:before="244" w:after="6"/>
        <w:ind w:left="386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“aggrieved party” means, a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suffered any injury, harm,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impairment or disability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physical, mental or emotional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loss economical or otherwise,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result of the commission of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50" w:lineRule="auto" w:before="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offence, and if the aggrieved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is a child, the parent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guardian of such child and if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aggrieved party be dead, include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next of kin namely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surviving spouse, children,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parents, brothers, sisters or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descendants;</w:t>
      </w:r>
    </w:p>
    <w:p>
      <w:pPr>
        <w:autoSpaceDN w:val="0"/>
        <w:tabs>
          <w:tab w:pos="3502" w:val="left"/>
          <w:tab w:pos="3862" w:val="left"/>
        </w:tabs>
        <w:autoSpaceDE w:val="0"/>
        <w:widowControl/>
        <w:spacing w:line="245" w:lineRule="auto" w:before="254" w:after="194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means, a person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 of age.”.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0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40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6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