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362" w:lineRule="auto" w:before="146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SRI LANKA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Part II of July 16, 2021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SUPPLEMENT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4"/>
        </w:rPr>
        <w:t>(Issued on 20.07.2021)</w:t>
      </w:r>
    </w:p>
    <w:p>
      <w:pPr>
        <w:autoSpaceDN w:val="0"/>
        <w:autoSpaceDE w:val="0"/>
        <w:widowControl/>
        <w:spacing w:line="240" w:lineRule="auto" w:before="326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15" w:lineRule="auto" w:before="402" w:after="0"/>
        <w:ind w:left="2736" w:right="2592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UNIVERSITIES (AMENDMENT)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A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370" w:after="0"/>
        <w:ind w:left="0" w:right="2560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Universities Act, No. 16 of 1978</w:t>
      </w:r>
    </w:p>
    <w:p>
      <w:pPr>
        <w:autoSpaceDN w:val="0"/>
        <w:autoSpaceDE w:val="0"/>
        <w:widowControl/>
        <w:spacing w:line="235" w:lineRule="auto" w:before="392" w:after="0"/>
        <w:ind w:left="0" w:right="225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to be published by the Minister of Education</w:t>
      </w:r>
    </w:p>
    <w:p>
      <w:pPr>
        <w:autoSpaceDN w:val="0"/>
        <w:autoSpaceDE w:val="0"/>
        <w:widowControl/>
        <w:spacing w:line="235" w:lineRule="auto" w:before="550" w:after="0"/>
        <w:ind w:left="0" w:right="260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5" w:lineRule="auto" w:before="12" w:after="0"/>
        <w:ind w:left="0" w:right="23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8" w:lineRule="auto" w:before="152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17.00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152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48"/>
        <w:ind w:left="0" w:right="0"/>
      </w:pPr>
    </w:p>
    <w:p>
      <w:pPr>
        <w:autoSpaceDN w:val="0"/>
        <w:autoSpaceDE w:val="0"/>
        <w:widowControl/>
        <w:spacing w:line="196" w:lineRule="exact" w:before="0" w:after="0"/>
        <w:ind w:left="0" w:right="3222" w:firstLine="0"/>
        <w:jc w:val="right"/>
      </w:pP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192" w:lineRule="exact" w:before="192" w:after="0"/>
        <w:ind w:left="1342" w:right="1436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Clause 2: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This clause inserts new section 23</w:t>
      </w:r>
      <w:r>
        <w:rPr>
          <w:w w:val="101.81818008422852"/>
          <w:rFonts w:ascii="TimesNewRoman" w:hAnsi="TimesNewRoman" w:eastAsia="TimesNewRoman"/>
          <w:b w:val="0"/>
          <w:i w:val="0"/>
          <w:color w:val="000000"/>
          <w:sz w:val="11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to the Universities Act, No. 16 of 1978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(hereinafter referred to as the “principal enactment”) and the legal effect of the section is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to provide for the establishment of Universities for specific purposes.</w:t>
      </w:r>
    </w:p>
    <w:p>
      <w:pPr>
        <w:autoSpaceDN w:val="0"/>
        <w:tabs>
          <w:tab w:pos="1582" w:val="left"/>
        </w:tabs>
        <w:autoSpaceDE w:val="0"/>
        <w:widowControl/>
        <w:spacing w:line="192" w:lineRule="exact" w:before="192" w:after="0"/>
        <w:ind w:left="1342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Clause 3: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This clause amends section 26 of the principal enactment and is consequential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to the amendment made by clause 2.</w:t>
      </w:r>
    </w:p>
    <w:p>
      <w:pPr>
        <w:autoSpaceDN w:val="0"/>
        <w:tabs>
          <w:tab w:pos="1582" w:val="left"/>
        </w:tabs>
        <w:autoSpaceDE w:val="0"/>
        <w:widowControl/>
        <w:spacing w:line="192" w:lineRule="exact" w:before="192" w:after="0"/>
        <w:ind w:left="1342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Clause 4: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This clause amends section 27 of the principal enactment and is consequential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to the amendment made by clause 2.</w:t>
      </w:r>
    </w:p>
    <w:p>
      <w:pPr>
        <w:autoSpaceDN w:val="0"/>
        <w:tabs>
          <w:tab w:pos="1582" w:val="left"/>
        </w:tabs>
        <w:autoSpaceDE w:val="0"/>
        <w:widowControl/>
        <w:spacing w:line="192" w:lineRule="exact" w:before="192" w:after="0"/>
        <w:ind w:left="1342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Clause 5: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This clause amends section 101 of the principal enactment and is consequential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to the amendment made by clause 2.</w:t>
      </w:r>
    </w:p>
    <w:p>
      <w:pPr>
        <w:autoSpaceDN w:val="0"/>
        <w:tabs>
          <w:tab w:pos="1582" w:val="left"/>
        </w:tabs>
        <w:autoSpaceDE w:val="0"/>
        <w:widowControl/>
        <w:spacing w:line="192" w:lineRule="exact" w:before="192" w:after="0"/>
        <w:ind w:left="1342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Clause 6: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This clause amends section 102 of the principal enactment and is consequential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to the amendment made by clause 2.</w:t>
      </w:r>
    </w:p>
    <w:p>
      <w:pPr>
        <w:autoSpaceDN w:val="0"/>
        <w:tabs>
          <w:tab w:pos="1582" w:val="left"/>
        </w:tabs>
        <w:autoSpaceDE w:val="0"/>
        <w:widowControl/>
        <w:spacing w:line="192" w:lineRule="exact" w:before="192" w:after="0"/>
        <w:ind w:left="1342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Clause 7: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This clause amends section 103 of the principal enactment and is consequential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to the amendment made by clause 2.</w:t>
      </w:r>
    </w:p>
    <w:p>
      <w:pPr>
        <w:autoSpaceDN w:val="0"/>
        <w:tabs>
          <w:tab w:pos="1582" w:val="left"/>
        </w:tabs>
        <w:autoSpaceDE w:val="0"/>
        <w:widowControl/>
        <w:spacing w:line="192" w:lineRule="exact" w:before="192" w:after="0"/>
        <w:ind w:left="1342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Clause 8: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This clause amends section 104 of the principal enactment and is consequential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to the amendment made by clause 2.</w:t>
      </w:r>
    </w:p>
    <w:p>
      <w:pPr>
        <w:autoSpaceDN w:val="0"/>
        <w:tabs>
          <w:tab w:pos="1582" w:val="left"/>
        </w:tabs>
        <w:autoSpaceDE w:val="0"/>
        <w:widowControl/>
        <w:spacing w:line="192" w:lineRule="exact" w:before="192" w:after="0"/>
        <w:ind w:left="1342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Clause 9: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This clause amends section 105 of the principal enactment and is consequential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to the amendment made by clause 2.</w:t>
      </w:r>
    </w:p>
    <w:p>
      <w:pPr>
        <w:autoSpaceDN w:val="0"/>
        <w:tabs>
          <w:tab w:pos="1582" w:val="left"/>
        </w:tabs>
        <w:autoSpaceDE w:val="0"/>
        <w:widowControl/>
        <w:spacing w:line="192" w:lineRule="exact" w:before="192" w:after="0"/>
        <w:ind w:left="1342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Clause 10: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This clause amends section 107 of the principal enactment and is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consequential to the amendment made by clause 2.</w:t>
      </w:r>
    </w:p>
    <w:p>
      <w:pPr>
        <w:autoSpaceDN w:val="0"/>
        <w:tabs>
          <w:tab w:pos="1582" w:val="left"/>
        </w:tabs>
        <w:autoSpaceDE w:val="0"/>
        <w:widowControl/>
        <w:spacing w:line="192" w:lineRule="exact" w:before="192" w:after="0"/>
        <w:ind w:left="1342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Clause 11: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This clause amends section 124 of the principal enactment and is consequential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to the amendment made by clause 2.</w:t>
      </w:r>
    </w:p>
    <w:p>
      <w:pPr>
        <w:autoSpaceDN w:val="0"/>
        <w:tabs>
          <w:tab w:pos="1582" w:val="left"/>
        </w:tabs>
        <w:autoSpaceDE w:val="0"/>
        <w:widowControl/>
        <w:spacing w:line="192" w:lineRule="exact" w:before="192" w:after="0"/>
        <w:ind w:left="1342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Clause 12: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This clause amends section 128 of the principal enactment and is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consequential to the amendment made by clause 2.</w:t>
      </w:r>
    </w:p>
    <w:p>
      <w:pPr>
        <w:autoSpaceDN w:val="0"/>
        <w:tabs>
          <w:tab w:pos="1582" w:val="left"/>
        </w:tabs>
        <w:autoSpaceDE w:val="0"/>
        <w:widowControl/>
        <w:spacing w:line="192" w:lineRule="exact" w:before="192" w:after="0"/>
        <w:ind w:left="1342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Clause 13: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This clause amends section 145 of the principal enactment and is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consequential to the amendment made by clause 2.</w:t>
      </w:r>
    </w:p>
    <w:p>
      <w:pPr>
        <w:autoSpaceDN w:val="0"/>
        <w:autoSpaceDE w:val="0"/>
        <w:widowControl/>
        <w:spacing w:line="192" w:lineRule="exact" w:before="192" w:after="0"/>
        <w:ind w:left="1342" w:right="1436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Clause 14: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This clause amends section 147 of the principal enactment and the legal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effect of the section as amended is to replace the definitions of the expressions “governing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authority”, “Higher Educational Institution” and “principal executive officer”.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6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Universities (Amendment)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3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L.D.—O. 8/2021</w:t>
      </w:r>
    </w:p>
    <w:p>
      <w:pPr>
        <w:autoSpaceDN w:val="0"/>
        <w:autoSpaceDE w:val="0"/>
        <w:widowControl/>
        <w:spacing w:line="235" w:lineRule="auto" w:before="266" w:after="0"/>
        <w:ind w:left="2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U</w:t>
      </w:r>
      <w:r>
        <w:rPr>
          <w:rFonts w:ascii="Times" w:hAnsi="Times" w:eastAsia="Times"/>
          <w:b w:val="0"/>
          <w:i w:val="0"/>
          <w:color w:val="000000"/>
          <w:sz w:val="14"/>
        </w:rPr>
        <w:t>NIVERSITIES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16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1978</w:t>
      </w:r>
    </w:p>
    <w:p>
      <w:pPr>
        <w:autoSpaceDN w:val="0"/>
        <w:autoSpaceDE w:val="0"/>
        <w:widowControl/>
        <w:spacing w:line="247" w:lineRule="auto" w:before="266" w:after="20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Universities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5" w:lineRule="auto" w:before="8" w:after="20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(Amendment) Act, No.       of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2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Universities Act, No.16 of 1978 (hereinafter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2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referred to as the “principal enactment”) is hereby amended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new section</w:t>
            </w:r>
          </w:p>
        </w:tc>
      </w:tr>
      <w:tr>
        <w:trPr>
          <w:trHeight w:hRule="exact" w:val="56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in the</w:t>
            </w:r>
          </w:p>
        </w:tc>
      </w:tr>
      <w:tr>
        <w:trPr>
          <w:trHeight w:hRule="exact" w:val="134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insertion immediately after section 23, of the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Act, No.16</w:t>
            </w:r>
          </w:p>
        </w:tc>
      </w:tr>
      <w:tr>
        <w:trPr>
          <w:trHeight w:hRule="exact" w:val="82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following new section which shall have effect as section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1978</w:t>
            </w:r>
          </w:p>
        </w:tc>
      </w:tr>
      <w:tr>
        <w:trPr>
          <w:trHeight w:hRule="exact" w:val="366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of that enactment: -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47"/>
        </w:trPr>
        <w:tc>
          <w:tcPr>
            <w:tcW w:type="dxa" w:w="1503"/>
            <w:vMerge/>
            <w:tcBorders/>
          </w:tcPr>
          <w:p/>
        </w:tc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“Establishment</w:t>
            </w:r>
          </w:p>
        </w:tc>
        <w:tc>
          <w:tcPr>
            <w:tcW w:type="dxa" w:w="3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The Minister may, in consultation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89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5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96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Universities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specific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purposes</w:t>
            </w:r>
          </w:p>
        </w:tc>
        <w:tc>
          <w:tcPr>
            <w:tcW w:type="dxa" w:w="3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32" w:after="0"/>
              <w:ind w:left="76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with the Commission, by an Order (hereinafter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referred to as a “University for a specific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purpose Order”)-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1503"/>
            <w:vMerge/>
            <w:tcBorders/>
          </w:tcPr>
          <w:p/>
        </w:tc>
        <w:tc>
          <w:tcPr>
            <w:tcW w:type="dxa" w:w="18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establish a University for a specific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purpose, which shall be a body</w:t>
            </w:r>
          </w:p>
        </w:tc>
        <w:tc>
          <w:tcPr>
            <w:tcW w:type="dxa" w:w="1503"/>
            <w:vMerge/>
            <w:tcBorders/>
          </w:tcPr>
          <w:p/>
        </w:tc>
      </w:tr>
    </w:tbl>
    <w:p>
      <w:pPr>
        <w:autoSpaceDN w:val="0"/>
        <w:tabs>
          <w:tab w:pos="3596" w:val="left"/>
        </w:tabs>
        <w:autoSpaceDE w:val="0"/>
        <w:widowControl/>
        <w:spacing w:line="254" w:lineRule="auto" w:before="10" w:after="204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corporate, with perpetual succession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 common seal for the purpose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providing, promoting and developing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higher education in all such branches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learning as shall be specified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Order to those who are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students of any of the institutions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referred to in sections 21, 22, 23, 24,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24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25;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assign a name and style to such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8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University; and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specify the location or site which shall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29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be the seat of such University.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Universities (Amendment)</w:t>
      </w:r>
    </w:p>
    <w:p>
      <w:pPr>
        <w:autoSpaceDN w:val="0"/>
        <w:autoSpaceDE w:val="0"/>
        <w:widowControl/>
        <w:spacing w:line="250" w:lineRule="auto" w:before="496" w:after="206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structure, powers, duties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 of such University shall be prescribed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by Ordinance.”.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54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6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26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26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 “Open University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52" w:lineRule="auto" w:before="6" w:after="0"/>
        <w:ind w:left="134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Order, University College Order, Institution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Higher Learning Order”, of the words “Open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University Order, University for a specific purpose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Order, University College Order, Institution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Higher Learning Order”; and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66" w:after="19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substitution in the marginal note to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for the figures “23, 24,”, of the figures “23,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23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, 24”.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16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27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27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(1) of that section 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5" w:lineRule="auto" w:before="4" w:after="1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substitution for the words “Open University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8" w:after="0"/>
              <w:ind w:left="0" w:right="4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Order, University College Order, or Institution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Higher Learning Order”, of the words “Open</w:t>
            </w:r>
          </w:p>
        </w:tc>
      </w:tr>
    </w:tbl>
    <w:p>
      <w:pPr>
        <w:autoSpaceDN w:val="0"/>
        <w:autoSpaceDE w:val="0"/>
        <w:widowControl/>
        <w:spacing w:line="250" w:lineRule="auto" w:before="10" w:after="20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University Order, University for a specific purpose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Order, University College Order or Institution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Higher Learning Order”;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4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in the marginal note to that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for the figures “23, 24”, of the figures “23,</w:t>
            </w:r>
          </w:p>
        </w:tc>
      </w:tr>
    </w:tbl>
    <w:p>
      <w:pPr>
        <w:autoSpaceDN w:val="0"/>
        <w:autoSpaceDE w:val="0"/>
        <w:widowControl/>
        <w:spacing w:line="238" w:lineRule="auto" w:before="10" w:after="204"/>
        <w:ind w:left="0" w:right="58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23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, 24”.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3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16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101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171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101 of the</w:t>
            </w:r>
          </w:p>
        </w:tc>
      </w:tr>
      <w:tr>
        <w:trPr>
          <w:trHeight w:hRule="exact" w:val="189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 “University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Open University or the Treasurer of a University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315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Universities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45" w:lineRule="auto" w:before="494" w:after="19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College”, of the words “University, Open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University or University for a specific purpose,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Treasurer of a University College”;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section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“University, Open University,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University College”, of the words “University, Open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University, University for a specific purpose,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University College”;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in the proviso to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that section for the words “University, Open</w:t>
            </w:r>
          </w:p>
        </w:tc>
      </w:tr>
    </w:tbl>
    <w:p>
      <w:pPr>
        <w:autoSpaceDN w:val="0"/>
        <w:autoSpaceDE w:val="0"/>
        <w:widowControl/>
        <w:spacing w:line="247" w:lineRule="auto" w:before="8" w:after="17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University, University College”, wherever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words appear in that proviso of the words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“University, Open University, University for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specific purpose, University College”.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10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102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2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8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substitution for the words “University, Open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102 of the</w:t>
            </w:r>
          </w:p>
        </w:tc>
      </w:tr>
      <w:tr>
        <w:trPr>
          <w:trHeight w:hRule="exact" w:val="1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University, University College”, wherever such words appear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that section, of the words “University, Open University,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University for a specific purpose, University College”.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103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14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substitution for the words “University, Open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103 of the</w:t>
            </w:r>
          </w:p>
        </w:tc>
      </w:tr>
      <w:tr>
        <w:trPr>
          <w:trHeight w:hRule="exact" w:val="1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University, University College”, of the words “University,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Open University, University for a specific purpose,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University College”.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104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3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substitution for the words “University, Open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5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104 of the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University, University College”, wherever such words appear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that section, of the words “University, Open University,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University for a specific purpose, University College”.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105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substitution for the words “University or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105 of the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Open University or the Treasurer of a University College”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“University, Open University, University College”,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Universities (Amendment)</w:t>
      </w:r>
    </w:p>
    <w:p>
      <w:pPr>
        <w:autoSpaceDN w:val="0"/>
        <w:autoSpaceDE w:val="0"/>
        <w:widowControl/>
        <w:spacing w:line="252" w:lineRule="auto" w:before="496" w:after="204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words “University, Open University or University for a </w:t>
      </w:r>
      <w:r>
        <w:rPr>
          <w:rFonts w:ascii="Times" w:hAnsi="Times" w:eastAsia="Times"/>
          <w:b w:val="0"/>
          <w:i w:val="0"/>
          <w:color w:val="000000"/>
          <w:sz w:val="20"/>
        </w:rPr>
        <w:t>specific purpose, or the Treasurer of a University College”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“University, Open University, University for a specific </w:t>
      </w:r>
      <w:r>
        <w:rPr>
          <w:rFonts w:ascii="Times" w:hAnsi="Times" w:eastAsia="Times"/>
          <w:b w:val="0"/>
          <w:i w:val="0"/>
          <w:color w:val="000000"/>
          <w:sz w:val="20"/>
        </w:rPr>
        <w:t>purpose, University College” respectively.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2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107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(6) as follows: 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107 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subsection by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tabs>
          <w:tab w:pos="2424" w:val="left"/>
        </w:tabs>
        <w:autoSpaceDE w:val="0"/>
        <w:widowControl/>
        <w:spacing w:line="252" w:lineRule="auto" w:before="8" w:after="0"/>
        <w:ind w:left="134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substitution, for the words “University or Open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University or the Secretary of the University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College”, of the words “University, Open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University or University for a specific purpose,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Secretary of the University College”; and</w:t>
      </w:r>
    </w:p>
    <w:p>
      <w:pPr>
        <w:autoSpaceDN w:val="0"/>
        <w:tabs>
          <w:tab w:pos="2424" w:val="left"/>
        </w:tabs>
        <w:autoSpaceDE w:val="0"/>
        <w:widowControl/>
        <w:spacing w:line="247" w:lineRule="auto" w:before="264" w:after="1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sub paragraph (iii) of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subsection, by the substitution for the words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4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44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“University or Open University or the Secretary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University College”, of the words “University,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6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Open University or University for a specific purpose,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the Secretary of the University College”.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124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substitution for the words “Universities,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124 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Open University or University Colleges”, of the words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“Universities, the Open University, Universities for a specific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7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4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purpose or University Colleges”.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18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128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1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(1) by the substitution for the words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128 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“University, Open University, Centre for Higher Learning”,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29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words “University, Open University, University for 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5" w:lineRule="auto" w:before="10" w:after="206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specific purpose, Centre for Higher Learning”.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5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145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substitution for the words and figures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145 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“sections 21, 22, 23, and 24,”, of the words and figures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“sections 21, 22, 23, 23A, and 24,”.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7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Universities (Amendment)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8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147 of the principal enactment is hereby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  follows: 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147 of the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by the repeal of the definition of the expression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“governing authority” and the substitution therefor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following definition: -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18" w:after="0"/>
        <w:ind w:left="0" w:right="31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““governing authority” in relation to-</w:t>
      </w:r>
    </w:p>
    <w:p>
      <w:pPr>
        <w:autoSpaceDN w:val="0"/>
        <w:tabs>
          <w:tab w:pos="3478" w:val="left"/>
        </w:tabs>
        <w:autoSpaceDE w:val="0"/>
        <w:widowControl/>
        <w:spacing w:line="252" w:lineRule="auto" w:before="282" w:after="220"/>
        <w:ind w:left="31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University, means the Council of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University;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Open University, means the Council</w:t>
            </w:r>
          </w:p>
        </w:tc>
      </w:tr>
      <w:tr>
        <w:trPr>
          <w:trHeight w:hRule="exact" w:val="398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that Open University;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University for a specific purpose,</w:t>
            </w:r>
          </w:p>
        </w:tc>
      </w:tr>
    </w:tbl>
    <w:p>
      <w:pPr>
        <w:autoSpaceDN w:val="0"/>
        <w:autoSpaceDE w:val="0"/>
        <w:widowControl/>
        <w:spacing w:line="252" w:lineRule="auto" w:before="14" w:after="218"/>
        <w:ind w:left="347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means the Council of that University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for a specific purpose;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(iv)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University College, means the Board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Management of that University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0" w:right="46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College;”;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82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repeal of the definition of the expression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“Higher Educational Institution”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substitution therefor of the following definition: -</w:t>
      </w:r>
    </w:p>
    <w:p>
      <w:pPr>
        <w:autoSpaceDN w:val="0"/>
        <w:tabs>
          <w:tab w:pos="2758" w:val="left"/>
          <w:tab w:pos="3238" w:val="left"/>
        </w:tabs>
        <w:autoSpaceDE w:val="0"/>
        <w:widowControl/>
        <w:spacing w:line="259" w:lineRule="auto" w:before="282" w:after="1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““Higher Educational Institution” means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University, Campus, Open University,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University for a specific purpose,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University College, or Centre for Higher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Learning established or deemed to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8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established under this Act;”; and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the definition of the expression</w:t>
            </w:r>
          </w:p>
        </w:tc>
      </w:tr>
    </w:tbl>
    <w:p>
      <w:pPr>
        <w:autoSpaceDN w:val="0"/>
        <w:autoSpaceDE w:val="0"/>
        <w:widowControl/>
        <w:spacing w:line="250" w:lineRule="auto" w:before="14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“principal executive officer” and the substitution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therefor of the following definition: 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Universities (Amendment)</w:t>
      </w:r>
    </w:p>
    <w:p>
      <w:pPr>
        <w:autoSpaceDN w:val="0"/>
        <w:autoSpaceDE w:val="0"/>
        <w:widowControl/>
        <w:spacing w:line="235" w:lineRule="auto" w:before="494" w:after="0"/>
        <w:ind w:left="0" w:right="27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““principal executive officer” in relation to-</w:t>
      </w:r>
    </w:p>
    <w:p>
      <w:pPr>
        <w:autoSpaceDN w:val="0"/>
        <w:tabs>
          <w:tab w:pos="3384" w:val="left"/>
        </w:tabs>
        <w:autoSpaceDE w:val="0"/>
        <w:widowControl/>
        <w:spacing w:line="235" w:lineRule="auto" w:before="254" w:after="0"/>
        <w:ind w:left="30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 University, means the Vice-</w:t>
      </w:r>
    </w:p>
    <w:p>
      <w:pPr>
        <w:autoSpaceDN w:val="0"/>
        <w:autoSpaceDE w:val="0"/>
        <w:widowControl/>
        <w:spacing w:line="235" w:lineRule="auto" w:before="14" w:after="194"/>
        <w:ind w:left="0" w:right="31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Chancellor of that University;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Open University, means the Vice-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Chancellor of that Open University;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University for a specific purpose,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means the Vice-Chancellor of that</w:t>
      </w:r>
    </w:p>
    <w:p>
      <w:pPr>
        <w:autoSpaceDN w:val="0"/>
        <w:autoSpaceDE w:val="0"/>
        <w:widowControl/>
        <w:spacing w:line="235" w:lineRule="auto" w:before="14" w:after="194"/>
        <w:ind w:left="0" w:right="25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University for a specific purpose;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(iv)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University College, means the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Director of that University College;”.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Sinhala and Tamil texts of this Act, the Sinhala text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96"/>
        <w:ind w:left="0" w:right="0"/>
      </w:pPr>
    </w:p>
    <w:p>
      <w:pPr>
        <w:autoSpaceDN w:val="0"/>
        <w:autoSpaceDE w:val="0"/>
        <w:widowControl/>
        <w:spacing w:line="1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6.0000000000002" w:type="dxa"/>
      </w:tblPr>
      <w:tblGrid>
        <w:gridCol w:w="4510"/>
        <w:gridCol w:w="4510"/>
      </w:tblGrid>
      <w:tr>
        <w:trPr>
          <w:trHeight w:hRule="exact" w:val="9632"/>
        </w:trPr>
        <w:tc>
          <w:tcPr>
            <w:tcW w:type="dxa" w:w="443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Universities (Amendment)</w:t>
            </w:r>
          </w:p>
        </w:tc>
        <w:tc>
          <w:tcPr>
            <w:tcW w:type="dxa" w:w="181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38" w:lineRule="auto" w:before="28" w:after="0"/>
        <w:ind w:left="0" w:right="338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