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4" w:after="0"/>
        <w:ind w:left="2448" w:right="244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HUMAN RIGHTS ORGANIZATION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278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74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80" w:after="0"/>
        <w:ind w:left="0" w:right="25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000000"/>
          <w:sz w:val="20"/>
        </w:rPr>
        <w:t>Human Rights Organization</w:t>
      </w:r>
    </w:p>
    <w:p>
      <w:pPr>
        <w:autoSpaceDN w:val="0"/>
        <w:autoSpaceDE w:val="0"/>
        <w:widowControl/>
        <w:spacing w:line="235" w:lineRule="auto" w:before="27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12" w:after="0"/>
        <w:ind w:left="2592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Hon. Tissa Attanayake, M. P.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03rd of August 2021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20, 2021)</w:t>
      </w:r>
    </w:p>
    <w:p>
      <w:pPr>
        <w:autoSpaceDN w:val="0"/>
        <w:autoSpaceDE w:val="0"/>
        <w:widowControl/>
        <w:spacing w:line="235" w:lineRule="auto" w:before="254" w:after="11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7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61]</w:t>
            </w:r>
          </w:p>
        </w:tc>
        <w:tc>
          <w:tcPr>
            <w:tcW w:type="dxa" w:w="45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tabs>
          <w:tab w:pos="2394" w:val="left"/>
          <w:tab w:pos="2618" w:val="left"/>
          <w:tab w:pos="5948" w:val="left"/>
        </w:tabs>
        <w:autoSpaceDE w:val="0"/>
        <w:widowControl/>
        <w:spacing w:line="254" w:lineRule="auto" w:before="26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790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Human Rights Organization  (Incorporation)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2" w:after="0"/>
        <w:ind w:left="20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UMAN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RGANIZATION</w:t>
      </w:r>
    </w:p>
    <w:p>
      <w:pPr>
        <w:autoSpaceDN w:val="0"/>
        <w:tabs>
          <w:tab w:pos="6718" w:val="left"/>
        </w:tabs>
        <w:autoSpaceDE w:val="0"/>
        <w:widowControl/>
        <w:spacing w:line="259" w:lineRule="auto" w:before="280" w:after="14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Organization called and known as the “Human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Organization” has heretofore been formed  in No. 10,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Mosque Lane, Galle Road, Colombo 3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effectually carrying out its objects and transacting all matters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connected  with the said Organization  according to the rules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agreed to by its members: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22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:</w:t>
      </w:r>
    </w:p>
    <w:p>
      <w:pPr>
        <w:autoSpaceDN w:val="0"/>
        <w:autoSpaceDE w:val="0"/>
        <w:widowControl/>
        <w:spacing w:line="252" w:lineRule="auto" w:before="282" w:after="20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Human Rights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  (Incorporation) Act, No.    of  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Human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 as now are members of  the Human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Organization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2" w:lineRule="auto" w:before="6" w:after="12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“Organization”) or shall hereafter be admitted as members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perpetual succession, under the name and style of 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“Human Rights Organization” (hereinafter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sued, with full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 and  authority to have and  use a common seal and to alter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:—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2396" w:val="left"/>
        </w:tabs>
        <w:autoSpaceDE w:val="0"/>
        <w:widowControl/>
        <w:spacing w:line="250" w:lineRule="auto" w:before="80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protect and make known human rights, humanities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fundamental rights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7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Human Rights Organization  (Incorporation)</w:t>
      </w:r>
    </w:p>
    <w:p>
      <w:pPr>
        <w:autoSpaceDN w:val="0"/>
        <w:tabs>
          <w:tab w:pos="2302" w:val="left"/>
        </w:tabs>
        <w:autoSpaceDE w:val="0"/>
        <w:widowControl/>
        <w:spacing w:line="250" w:lineRule="auto" w:before="502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and encourage humanities, sports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 services 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7" w:lineRule="auto" w:before="28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facilitate in providing various relief facilities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affected by the natural disasters and man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disasters ;</w:t>
      </w:r>
    </w:p>
    <w:p>
      <w:pPr>
        <w:autoSpaceDN w:val="0"/>
        <w:autoSpaceDE w:val="0"/>
        <w:widowControl/>
        <w:spacing w:line="257" w:lineRule="auto" w:before="278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seminars, dialog and various programmes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religious, social and cultural important locally and </w:t>
      </w:r>
      <w:r>
        <w:rPr>
          <w:rFonts w:ascii="Times" w:hAnsi="Times" w:eastAsia="Times"/>
          <w:b w:val="0"/>
          <w:i w:val="0"/>
          <w:color w:val="221F1F"/>
          <w:sz w:val="20"/>
        </w:rPr>
        <w:t>internationally ;</w:t>
      </w:r>
    </w:p>
    <w:p>
      <w:pPr>
        <w:autoSpaceDN w:val="0"/>
        <w:autoSpaceDE w:val="0"/>
        <w:widowControl/>
        <w:spacing w:line="238" w:lineRule="auto" w:before="282" w:after="0"/>
        <w:ind w:left="19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organise leadership programmes 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2" w:lineRule="auto" w:before="278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lead a committee of patrons comprising of religious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leaders representing all communities ;</w:t>
      </w:r>
    </w:p>
    <w:p>
      <w:pPr>
        <w:autoSpaceDN w:val="0"/>
        <w:autoSpaceDE w:val="0"/>
        <w:widowControl/>
        <w:spacing w:line="252" w:lineRule="auto" w:before="282" w:after="12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 establish and conduct libraries, to assist in printing </w:t>
      </w:r>
      <w:r>
        <w:rPr>
          <w:rFonts w:ascii="Times" w:hAnsi="Times" w:eastAsia="Times"/>
          <w:b w:val="0"/>
          <w:i w:val="0"/>
          <w:color w:val="221F1F"/>
          <w:sz w:val="20"/>
        </w:rPr>
        <w:t>and publishing of books, magazines, souvenirs,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journals, cassettes, compact Disks and software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other services necessary to the attainment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7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objectives of the Corporation.</w:t>
      </w:r>
    </w:p>
    <w:p>
      <w:pPr>
        <w:autoSpaceDN w:val="0"/>
        <w:autoSpaceDE w:val="0"/>
        <w:widowControl/>
        <w:spacing w:line="254" w:lineRule="auto" w:before="282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acts in collaboration with institutions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local or foreign, having similar objects </w:t>
      </w:r>
      <w:r>
        <w:rPr>
          <w:rFonts w:ascii="Times" w:hAnsi="Times" w:eastAsia="Times"/>
          <w:b w:val="0"/>
          <w:i w:val="0"/>
          <w:color w:val="221F1F"/>
          <w:sz w:val="20"/>
        </w:rPr>
        <w:t>to those of the Corporation ; and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9" w:lineRule="auto" w:before="270" w:after="218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 and things as are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incidental or conducive to the attainment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above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management, control and administration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shall, subject to the provision of this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rules in force for the time being of the Corporation,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vested in a Board of Directors (hereinafter referred to as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“Board”) consisting of the office bearers and such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as may be provided for in such rules and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therewith.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36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Human Rights Organization 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11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Board of the Corporation shall consist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of the Foundation holding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>the day preceding the date of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6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 as  are  necessary  or  desirable  for 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furtherance of  its objects or any one of them,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 to open, operate and close bank accounts,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 or raise moneys with or without security, 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or collect grants or donations, to invest its funds,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erect any building or structure on any land held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and to  engage, employ and dismiss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servants required for the carrying out of the objects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at any general meeting and by the votes of not less than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thirds of the members present and voting, to make rules,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inconsistent with the provision of this Act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law, for all or any of the following matters:—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174" w:after="112"/>
        <w:ind w:left="20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membership,fees payable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calss of members and admission, withdrawal,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expulsion or resignation of members and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maintaining of register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1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from, office and the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of the office 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powers, duties and functions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of the various officers, agents and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of the Corporation;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at the summoning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2" w:lineRule="auto" w:before="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any sub-committee therof,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quorum therefore and the conduct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thereat;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Human Rights Organization  (Incorporation)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qualifications and disqualifications for members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Board and the Corporation; and</w:t>
      </w:r>
    </w:p>
    <w:p>
      <w:pPr>
        <w:autoSpaceDN w:val="0"/>
        <w:tabs>
          <w:tab w:pos="2044" w:val="left"/>
          <w:tab w:pos="2422" w:val="left"/>
        </w:tabs>
        <w:autoSpaceDE w:val="0"/>
        <w:widowControl/>
        <w:spacing w:line="250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for the accomplishment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Corporation.</w:t>
      </w:r>
    </w:p>
    <w:p>
      <w:pPr>
        <w:autoSpaceDN w:val="0"/>
        <w:autoSpaceDE w:val="0"/>
        <w:widowControl/>
        <w:spacing w:line="245" w:lineRule="auto" w:before="24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rules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at all time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rules of the Corporation made under this section.</w:t>
      </w:r>
    </w:p>
    <w:p>
      <w:pPr>
        <w:autoSpaceDN w:val="0"/>
        <w:autoSpaceDE w:val="0"/>
        <w:widowControl/>
        <w:spacing w:line="247" w:lineRule="auto" w:before="254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of the organization in force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to date of commencement of this Act, shall in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far as they are not inconsistent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 or any other written law, be deemed to be rules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made under this section.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to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1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Executive Chairman and the Chairman,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Co-ordinator or appointed Member shall have the authority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engage in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dialog with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Government and Non Government institute to—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concern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engage in negotiation with the concerned parties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parties with a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view to solve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to solve their dispute whatsoever, with good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dispute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intention of solving such disputes in the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organisations for the benefit of the people;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 in dialog with concern authorities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Station within any administrative District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for the welfare of the people, in order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solve the dispute where an injustice has taken place;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47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with the corporation of Honourable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Minister of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Socialist Republic of Sri Lanka, the Provincial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Members, the Pradeshiya Sabha Members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36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Human Rights Organization 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7" w:lineRule="auto" w:before="502" w:after="21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Gevernment and Non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upon any complain or request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members in the society for their benefit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manner stated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above.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have its own Fund. All moneys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by way of gift, bequest, donation, transfer,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subscription, contribution or fees shall be deposited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 of the Corporation in one or more Banks as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of Management shall determine.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82" w:after="222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Corporation,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required to defray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incurred by the Corporation in carrying out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law,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and hold any property movable or immovable which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4" w:after="218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Corporation for the purposes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and subject to the rules in force for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of the Corporation with full power to sell, mortgage,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shall, for the purpose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discharging the debts and liabilities of the Corporation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the amount of  annual subscription payable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him to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Corporation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institute or institutes </w:t>
      </w:r>
      <w:r>
        <w:rPr>
          <w:rFonts w:ascii="Times" w:hAnsi="Times" w:eastAsia="Times"/>
          <w:b w:val="0"/>
          <w:i w:val="0"/>
          <w:color w:val="221F1F"/>
          <w:sz w:val="20"/>
        </w:rPr>
        <w:t>having objects similar to those of the Corporation, and which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7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Human Rights Organization  (Incorporation)</w:t>
      </w:r>
    </w:p>
    <w:p>
      <w:pPr>
        <w:autoSpaceDN w:val="0"/>
        <w:autoSpaceDE w:val="0"/>
        <w:widowControl/>
        <w:spacing w:line="252" w:lineRule="auto" w:before="496" w:after="20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 or are by the rules thereof prohibited from distributing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income or property among its or their members.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or institutions shall be determined by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at or immediately before the 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0" w:lineRule="auto" w:before="12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6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 may be determined by the Board.</w:t>
      </w:r>
    </w:p>
    <w:p>
      <w:pPr>
        <w:autoSpaceDN w:val="0"/>
        <w:autoSpaceDE w:val="0"/>
        <w:widowControl/>
        <w:spacing w:line="238" w:lineRule="auto" w:before="26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this section, “Qualified Auditor” means —</w:t>
      </w:r>
    </w:p>
    <w:p>
      <w:pPr>
        <w:autoSpaceDN w:val="0"/>
        <w:tabs>
          <w:tab w:pos="2782" w:val="left"/>
          <w:tab w:pos="2792" w:val="left"/>
        </w:tabs>
        <w:autoSpaceDE w:val="0"/>
        <w:widowControl/>
        <w:spacing w:line="247" w:lineRule="auto" w:before="264" w:after="10"/>
        <w:ind w:left="238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of Chartered Accountants of Sri Lanka,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to practice as an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 of which, being a member of the</w:t>
            </w:r>
          </w:p>
        </w:tc>
      </w:tr>
    </w:tbl>
    <w:p>
      <w:pPr>
        <w:autoSpaceDN w:val="0"/>
        <w:autoSpaceDE w:val="0"/>
        <w:widowControl/>
        <w:spacing w:line="252" w:lineRule="auto" w:before="8" w:after="1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Accountant issued by the Council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person as may be duly authorized by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who shall sign their names on the instrument in token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presence and such signing shall be independent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signing of any person as witness.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1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Human Rights Organization  (Incorporation)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477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peron, except such as are mentioned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and those claiming by, from or under them.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422"/>
        </w:trPr>
        <w:tc>
          <w:tcPr>
            <w:tcW w:type="dxa" w:w="6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5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Human Rights Organization  (Incorporation)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