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2702" w:val="left"/>
          <w:tab w:pos="3108" w:val="left"/>
          <w:tab w:pos="3900" w:val="left"/>
        </w:tabs>
        <w:autoSpaceDE w:val="0"/>
        <w:widowControl/>
        <w:spacing w:line="326" w:lineRule="exact" w:before="10" w:after="0"/>
        <w:ind w:left="2510" w:right="2160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 xml:space="preserve">Consumer Affairs Authority (Amendment)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THE GAZETTE OF THE DEMOCRATIC 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>SOCIALIST REPUBLIC OF</w:t>
      </w:r>
      <w:r>
        <w:br/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24"/>
        </w:rPr>
        <w:t xml:space="preserve"> SRI LANKA</w:t>
      </w:r>
    </w:p>
    <w:p>
      <w:pPr>
        <w:autoSpaceDN w:val="0"/>
        <w:autoSpaceDE w:val="0"/>
        <w:widowControl/>
        <w:spacing w:line="388" w:lineRule="exact" w:before="634" w:after="0"/>
        <w:ind w:left="0" w:right="2866" w:firstLine="0"/>
        <w:jc w:val="right"/>
      </w:pPr>
      <w:r>
        <w:rPr>
          <w:rFonts w:ascii="TimesNewRoman,Bold" w:hAnsi="TimesNewRoman,Bold" w:eastAsia="TimesNewRoman,Bold"/>
          <w:b/>
          <w:i w:val="0"/>
          <w:color w:val="000000"/>
          <w:sz w:val="28"/>
        </w:rPr>
        <w:t>Part II of August  13, 2021</w:t>
      </w:r>
    </w:p>
    <w:p>
      <w:pPr>
        <w:autoSpaceDN w:val="0"/>
        <w:autoSpaceDE w:val="0"/>
        <w:widowControl/>
        <w:spacing w:line="426" w:lineRule="exact" w:before="448" w:after="0"/>
        <w:ind w:left="0" w:right="342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32"/>
        </w:rPr>
        <w:t>SUPPLEMENT</w:t>
      </w:r>
    </w:p>
    <w:p>
      <w:pPr>
        <w:autoSpaceDN w:val="0"/>
        <w:autoSpaceDE w:val="0"/>
        <w:widowControl/>
        <w:spacing w:line="292" w:lineRule="exact" w:before="266" w:after="0"/>
        <w:ind w:left="0" w:right="335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4"/>
        </w:rPr>
        <w:t>(issued on 19.08.2021)</w:t>
      </w:r>
    </w:p>
    <w:p>
      <w:pPr>
        <w:autoSpaceDN w:val="0"/>
        <w:autoSpaceDE w:val="0"/>
        <w:widowControl/>
        <w:spacing w:line="240" w:lineRule="auto" w:before="2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44550" cy="1145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145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368" w:after="0"/>
        <w:ind w:left="2736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CONSUMER   AFFAIRS   AUTHORITY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384" w:lineRule="exact" w:before="24" w:after="0"/>
        <w:ind w:left="4176" w:right="4176" w:firstLine="0"/>
        <w:jc w:val="center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BILL</w:t>
      </w:r>
    </w:p>
    <w:p>
      <w:pPr>
        <w:autoSpaceDN w:val="0"/>
        <w:autoSpaceDE w:val="0"/>
        <w:widowControl/>
        <w:spacing w:line="276" w:lineRule="exact" w:before="204" w:after="0"/>
        <w:ind w:left="194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to amend the Consumer Affairs Authority Act No. 9 of 2003</w:t>
      </w:r>
    </w:p>
    <w:p>
      <w:pPr>
        <w:autoSpaceDN w:val="0"/>
        <w:autoSpaceDE w:val="0"/>
        <w:widowControl/>
        <w:spacing w:line="244" w:lineRule="exact" w:before="222" w:after="0"/>
        <w:ind w:left="0" w:right="2368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Ordered to be published by the Minister of Trade</w:t>
      </w:r>
    </w:p>
    <w:p>
      <w:pPr>
        <w:autoSpaceDN w:val="0"/>
        <w:tabs>
          <w:tab w:pos="2560" w:val="left"/>
          <w:tab w:pos="2880" w:val="left"/>
          <w:tab w:pos="5972" w:val="left"/>
        </w:tabs>
        <w:autoSpaceDE w:val="0"/>
        <w:widowControl/>
        <w:spacing w:line="298" w:lineRule="exact" w:before="64" w:after="0"/>
        <w:ind w:left="1444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PRINTED AT THE DEPATMENT OF GOVERNMENT PRINTING, SRI LANKA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TO BE PURCHASED AT THE GOVERNMENT PUBLICATIONS BUREAU, COLOMBO 5 </w:t>
      </w:r>
      <w:r>
        <w:br/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Price : Rs. </w:t>
      </w:r>
      <w:r>
        <w:rPr>
          <w:rFonts w:ascii="FMAbabld,Bold" w:hAnsi="FMAbabld,Bold" w:eastAsia="FMAbabld,Bold"/>
          <w:b/>
          <w:i w:val="0"/>
          <w:color w:val="000000"/>
          <w:sz w:val="18"/>
        </w:rPr>
        <w:t xml:space="preserve">12'00 </w:t>
      </w:r>
      <w:r>
        <w:tab/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>Postal Fee : Rs.</w:t>
      </w:r>
      <w:r>
        <w:rPr>
          <w:rFonts w:ascii="FMAbabld,Bold" w:hAnsi="FMAbabld,Bold" w:eastAsia="FMAbabld,Bold"/>
          <w:b/>
          <w:i w:val="0"/>
          <w:color w:val="000000"/>
          <w:sz w:val="18"/>
        </w:rPr>
        <w:t xml:space="preserve"> 15'00</w:t>
      </w:r>
    </w:p>
    <w:p>
      <w:pPr>
        <w:autoSpaceDN w:val="0"/>
        <w:tabs>
          <w:tab w:pos="7004" w:val="left"/>
        </w:tabs>
        <w:autoSpaceDE w:val="0"/>
        <w:widowControl/>
        <w:spacing w:line="240" w:lineRule="auto" w:before="0" w:after="0"/>
        <w:ind w:left="144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This Gazette Supplement can be downloaded from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autoSpaceDE w:val="0"/>
        <w:widowControl/>
        <w:spacing w:line="220" w:lineRule="exact" w:before="116" w:after="0"/>
        <w:ind w:left="0" w:right="3260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Consumer Affairs Authority (Amendment)</w:t>
      </w:r>
    </w:p>
    <w:p>
      <w:pPr>
        <w:autoSpaceDN w:val="0"/>
        <w:autoSpaceDE w:val="0"/>
        <w:widowControl/>
        <w:spacing w:line="244" w:lineRule="exact" w:before="234" w:after="0"/>
        <w:ind w:left="0" w:right="3048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STATEMENT OF LEGAL EFFECT</w:t>
      </w:r>
    </w:p>
    <w:p>
      <w:pPr>
        <w:autoSpaceDN w:val="0"/>
        <w:autoSpaceDE w:val="0"/>
        <w:widowControl/>
        <w:spacing w:line="216" w:lineRule="exact" w:before="544" w:after="0"/>
        <w:ind w:left="1404" w:right="1476" w:firstLine="418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Clause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  2  :   This clause amends section 60 of the Consumer Affairs Authority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Act, No.9 of 2003, and the legal effect of the section as amended is to introduce a new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penalty in respect of offences committed under subsection (4A) of section 60 by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contravening any provisions of subsection (5) of section 20 of the said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autoSpaceDE w:val="0"/>
        <w:widowControl/>
        <w:spacing w:line="220" w:lineRule="exact" w:before="116" w:after="0"/>
        <w:ind w:left="0" w:right="3186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8"/>
        </w:rPr>
        <w:t>Consumer Affairs Authority (Amendment)</w:t>
      </w:r>
    </w:p>
    <w:p>
      <w:pPr>
        <w:autoSpaceDN w:val="0"/>
        <w:tabs>
          <w:tab w:pos="1838" w:val="left"/>
          <w:tab w:pos="2006" w:val="left"/>
          <w:tab w:pos="3594" w:val="left"/>
        </w:tabs>
        <w:autoSpaceDE w:val="0"/>
        <w:widowControl/>
        <w:spacing w:line="360" w:lineRule="exact" w:before="218" w:after="194"/>
        <w:ind w:left="180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L.D.O 46/2021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MEND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ONSUMER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FFAIRS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UTHORITY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. 9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2003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6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0" w:after="0"/>
              <w:ind w:left="0" w:right="1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6" w:val="left"/>
              </w:tabs>
              <w:autoSpaceDE w:val="0"/>
              <w:widowControl/>
              <w:spacing w:line="228" w:lineRule="exact" w:before="110" w:after="0"/>
              <w:ind w:left="46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This Act may be cited as the Consumer Affairs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Authority (Amendment) Act, No.   of 2021.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Short title</w:t>
            </w:r>
          </w:p>
        </w:tc>
      </w:tr>
      <w:tr>
        <w:trPr>
          <w:trHeight w:hRule="exact" w:val="8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76" w:after="0"/>
              <w:ind w:left="46" w:right="5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Section 60 of the Consumer Affairs Authority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No.9 of 2003 (hereinafter referred to as the “principal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enactment”) is hereby amended as follows 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92" w:after="0"/>
              <w:ind w:left="0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Amendment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of section 60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of Act, No.9</w:t>
            </w:r>
          </w:p>
        </w:tc>
      </w:tr>
      <w:tr>
        <w:trPr>
          <w:trHeight w:hRule="exact" w:val="1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of  2003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insertion immediately after subsection (4)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thereof,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6" w:after="0"/>
              <w:ind w:left="826" w:right="52" w:firstLine="5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“(4A) Any person who fails or refuses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comply with an order made under subsection (5)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section 20 or acts in contravention of such order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commits an offence and shall on conviction 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trial before a Magistrate, be liable to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7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 where such person is not a body corporate,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126" w:right="5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fine not less than rupees one hundred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thousand and not exceeding rupees five hundred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thousand or to an imprisonment of either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description for a term not exceeding six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months or to both such fine and imprisonment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the case of a first offence, and to a fine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less than rupees two hundred thousand and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exceeding rupees one million or to an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imprisonment of either description for a term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 exceeding one year or to both such fine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imprisonment in the case of a subsequent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offence 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364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5"/>
        </w:rPr>
        <w:t>1 - PL 012607- 475 (2021/08)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8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7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94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8"/>
              </w:rPr>
              <w:t>Consumer Affairs Authority (Amendment)</w:t>
            </w:r>
          </w:p>
        </w:tc>
        <w:tc>
          <w:tcPr>
            <w:tcW w:type="dxa" w:w="1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346" w:after="0"/>
              <w:ind w:left="8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Act not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apply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respect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offences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committed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prior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to,coming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into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operation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this Act</w:t>
            </w:r>
          </w:p>
        </w:tc>
      </w:tr>
      <w:tr>
        <w:trPr>
          <w:trHeight w:hRule="exact" w:val="194"/>
        </w:trPr>
        <w:tc>
          <w:tcPr>
            <w:tcW w:type="dxa" w:w="3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0" w:after="0"/>
              <w:ind w:left="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1804"/>
            <w:vMerge/>
            <w:tcBorders/>
          </w:tcPr>
          <w:p/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(b)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 such person is a body corporate,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fine not less than rupees five hundred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thousand and not exceeding rupees five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million in the case of a first offence and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 fine not less than rupees one million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not exceeding rupees ten million in the case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3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a subsequent offence.”;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subsection (5) thereof, by the substitution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words and figures “provisions referred to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subsections (1), (2), (3) and (4) of this section”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words and figures “provisions referred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subsections (1), (2), (3), (4) or (4A)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section” 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98"/>
        </w:trPr>
        <w:tc>
          <w:tcPr>
            <w:tcW w:type="dxa" w:w="1804"/>
            <w:vMerge/>
            <w:tcBorders/>
          </w:tcPr>
          <w:p/>
        </w:tc>
        <w:tc>
          <w:tcPr>
            <w:tcW w:type="dxa" w:w="4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70" w:after="0"/>
              <w:ind w:left="74" w:right="64" w:firstLine="42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For the avoidance of doubt, it is hereby declared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that the provisions of section 2 of this Act shall not apply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respect of any offence committed under subsection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(4A) of section 60 of the principal enactment, where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offence was. committed prior to the coming into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operation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70"/>
        </w:trPr>
        <w:tc>
          <w:tcPr>
            <w:tcW w:type="dxa" w:w="3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780"/>
            <w:gridSpan w:val="3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96" w:after="0"/>
              <w:ind w:left="74" w:right="66" w:firstLine="42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11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32" w:after="0"/>
              <w:ind w:left="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to prevail 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the event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 xml:space="preserve">any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8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058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