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31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August 20, 2021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23.08.2021)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8" w:after="0"/>
        <w:ind w:left="19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INDIRA CANCER TRUST (INCORPORATION)</w:t>
      </w:r>
    </w:p>
    <w:p>
      <w:pPr>
        <w:autoSpaceDN w:val="0"/>
        <w:autoSpaceDE w:val="0"/>
        <w:widowControl/>
        <w:spacing w:line="238" w:lineRule="auto" w:before="322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5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60" w:after="0"/>
        <w:ind w:left="0" w:right="28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Indira Cancer Trust</w:t>
      </w:r>
    </w:p>
    <w:p>
      <w:pPr>
        <w:autoSpaceDN w:val="0"/>
        <w:autoSpaceDE w:val="0"/>
        <w:widowControl/>
        <w:spacing w:line="238" w:lineRule="auto" w:before="198" w:after="0"/>
        <w:ind w:left="17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Manusha Nanayakkara, M.P.</w:t>
      </w:r>
    </w:p>
    <w:p>
      <w:pPr>
        <w:autoSpaceDN w:val="0"/>
        <w:autoSpaceDE w:val="0"/>
        <w:widowControl/>
        <w:spacing w:line="235" w:lineRule="auto" w:before="0" w:after="0"/>
        <w:ind w:left="0" w:right="37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Galle District</w:t>
      </w:r>
    </w:p>
    <w:p>
      <w:pPr>
        <w:autoSpaceDN w:val="0"/>
        <w:autoSpaceDE w:val="0"/>
        <w:widowControl/>
        <w:spacing w:line="238" w:lineRule="auto" w:before="208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Indira Cancer Trust (Incorporation)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0" w:right="29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</w:t>
      </w:r>
      <w:r>
        <w:rPr>
          <w:rFonts w:ascii="Times" w:hAnsi="Times" w:eastAsia="Times"/>
          <w:b w:val="0"/>
          <w:i w:val="0"/>
          <w:color w:val="221F1F"/>
          <w:sz w:val="14"/>
        </w:rPr>
        <w:t>NDIRA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ANCER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62" w:lineRule="auto" w:before="290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“Indira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Cancer Trust” has  heretofore been established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effectually  carrying out  its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matters connected with the said Association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Association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 applied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said application:</w:t>
      </w:r>
    </w:p>
    <w:p>
      <w:pPr>
        <w:autoSpaceDN w:val="0"/>
        <w:autoSpaceDE w:val="0"/>
        <w:widowControl/>
        <w:spacing w:line="252" w:lineRule="auto" w:before="290" w:after="20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Indira Cancer Trust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4" w:after="20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now are members of the Indira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Indira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Cencer Trust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Cancer Trust (hereinafter referred to as the “Trust”) and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hereafter be admitted as members of the body corporate hereby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shall have  perpetual succession under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style of the “Indira Cancer Trust” (hereinafter  referred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“body corporate”) and by that name may sue and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sued with full  power and authority to have and use a common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seal and alter the 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6" w:lineRule="exact" w:before="272" w:after="0"/>
        <w:ind w:left="1452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Indira Cancer Trust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reduce the number of cancer cases and deaths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improve the quality of life of cancer patients through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prevention, early detection, diagnosis, treatment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palliation;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8" w:after="156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initiate cost effective long term strategies for cancer </w:t>
      </w:r>
      <w:r>
        <w:rPr>
          <w:rFonts w:ascii="Times" w:hAnsi="Times" w:eastAsia="Times"/>
          <w:b w:val="0"/>
          <w:i w:val="0"/>
          <w:color w:val="221F1F"/>
          <w:sz w:val="20"/>
        </w:rPr>
        <w:t>and 30-50% of all cancer cases are preventable;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4" w:right="1256" w:hanging="3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increases the chances of successful treatment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focusing on detecting symptomatic patients as earliest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possible stage;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6"/>
        <w:ind w:left="2304" w:right="2516" w:hanging="3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to cure or considerably prolog the life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patients and to ensure the best possible quality of life </w:t>
      </w:r>
      <w:r>
        <w:rPr>
          <w:rFonts w:ascii="Times" w:hAnsi="Times" w:eastAsia="Times"/>
          <w:b w:val="0"/>
          <w:i w:val="0"/>
          <w:color w:val="221F1F"/>
          <w:sz w:val="20"/>
        </w:rPr>
        <w:t>for cancer survivors;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4" w:right="1256" w:hanging="3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improve access to palliative care with an emphasis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primary health care and community/home based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care; and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8"/>
        <w:ind w:left="2304" w:right="2448" w:hanging="31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in improving the mental, social and in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quality of life of cencer sufferers and their families.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1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so as not to create any conflict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body corporate and any work being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</w:tbl>
    <w:p>
      <w:pPr>
        <w:autoSpaceDN w:val="0"/>
        <w:autoSpaceDE w:val="0"/>
        <w:widowControl/>
        <w:spacing w:line="247" w:lineRule="auto" w:before="6" w:after="38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Provincial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body corporate shall, subject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and the rules in force for the time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body corporate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(hereinafter referred to as the “Board”)  consisting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Chairman, Secretary and Treasurer elected in accordance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rules.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Indira Cancer Trust (Incorporation)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76" w:after="18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Board of Directors of the body corporate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 of the members of the Committee of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furtherance of all and any object of the body corporate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of them, including the powers to open, operate or 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accounts, to borrow or raise moneys with or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security, to receive or collect or accept grants and donations,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its funds and to engage, employ and dismiss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servants required for the carrying out of the objects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annual general meeting of the body corporate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by a majority of not less than two - thirds of the members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present and voting, to make rules, not inconsistent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or any other written law, for all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matters :—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 and the admission,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7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expulsion, removal or withdrawal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the resignation from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office, vacation of or removal from  office of office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bearers and their  powers, functions and duties;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for the summoning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 of Directors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of the time, places, notices  and agenda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meetings, the quorum thereof and the conduct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 thereof;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conduct, duties and functions   of the various officers,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agents and servants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34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Indira Cancer Trust (Incorporation)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484" w:after="0"/>
        <w:ind w:left="20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8" w:after="178"/>
        <w:ind w:left="20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body corporate may be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altered, added to or rescinded at a like meeting and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like manner, as a rule made under subsection (1).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this section shall be published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and shall come into effect on the date thereof.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16" w:after="176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name, address and other essential details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shall be inscribed.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gifts, bequests,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subscriptions, fees or grants for and on account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 shall be deposited in one or more banks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approved by the Board to the credit of the body corporte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section 6.</w:t>
            </w:r>
          </w:p>
        </w:tc>
      </w:tr>
    </w:tbl>
    <w:p>
      <w:pPr>
        <w:autoSpaceDN w:val="0"/>
        <w:autoSpaceDE w:val="0"/>
        <w:widowControl/>
        <w:spacing w:line="245" w:lineRule="auto" w:before="178" w:after="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 in the exercise, performance and discharge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powers, duties and functions under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50" w:lineRule="auto" w:before="216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 to be </w:t>
      </w:r>
      <w:r>
        <w:rPr>
          <w:rFonts w:ascii="Times" w:hAnsi="Times" w:eastAsia="Times"/>
          <w:b w:val="0"/>
          <w:i w:val="0"/>
          <w:color w:val="221F1F"/>
          <w:sz w:val="20"/>
        </w:rPr>
        <w:t>kept of its income and expenditure, assets and liabilities and</w:t>
      </w:r>
    </w:p>
    <w:p>
      <w:pPr>
        <w:autoSpaceDN w:val="0"/>
        <w:tabs>
          <w:tab w:pos="1704" w:val="left"/>
        </w:tabs>
        <w:autoSpaceDE w:val="0"/>
        <w:widowControl/>
        <w:spacing w:line="247" w:lineRule="auto" w:before="2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such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Indira Cancer Trust (Incorporation)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48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Auditor-General or a qualified auditor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Auditor-General in terms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Article 154 of the Constitution and be certified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Auditor-General or such qualified auditor.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means-</w:t>
      </w:r>
    </w:p>
    <w:p>
      <w:pPr>
        <w:autoSpaceDN w:val="0"/>
        <w:tabs>
          <w:tab w:pos="2352" w:val="left"/>
          <w:tab w:pos="275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 of which, being a member of the Institute</w:t>
            </w:r>
          </w:p>
        </w:tc>
      </w:tr>
    </w:tbl>
    <w:p>
      <w:pPr>
        <w:autoSpaceDN w:val="0"/>
        <w:autoSpaceDE w:val="0"/>
        <w:widowControl/>
        <w:spacing w:line="247" w:lineRule="auto" w:before="2" w:after="194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Board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shall prepare a report of the activities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boby corporate for each financial year and submit such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together with the audited statement of accounts certified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Auditor-General or a qualified auditor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10 to the Secretary of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Social Services and to the Registrar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Voluntary Social Services Organizations appointed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Voluntary Social Services Organization (Registration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Supervision) Act,  No. 31 of 1980 before the expiration of six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of the year succeeding the year to which such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relates.</w:t>
      </w:r>
    </w:p>
    <w:p>
      <w:pPr>
        <w:autoSpaceDN w:val="0"/>
        <w:autoSpaceDE w:val="0"/>
        <w:widowControl/>
        <w:spacing w:line="247" w:lineRule="auto" w:before="24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funds received by the body corporate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Indira Cancer Trust (Incorporation)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  <w:p>
            <w:pPr>
              <w:autoSpaceDN w:val="0"/>
              <w:autoSpaceDE w:val="0"/>
              <w:widowControl/>
              <w:spacing w:line="238" w:lineRule="auto" w:before="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Trust</w:t>
            </w:r>
          </w:p>
        </w:tc>
      </w:tr>
      <w:tr>
        <w:trPr>
          <w:trHeight w:hRule="exact" w:val="96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6" w:after="0"/>
              <w:ind w:left="864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All debts and liabilities of the Trust existing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 immediately preceding the date of commencement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6" w:after="19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Trust  on that day shall be paid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body 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Act,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take and hold any property,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both movable and immovable, which may become vested in it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virture of any purchase, grant, gift, testamentary disposition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and all such property shall be held by the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0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for the purpose of this Act and subject to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7, with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applied solely towards the promotion of the objects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and no portion thereof shall be paid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transferred directly or indirectly by way of dividend, bonus </w:t>
      </w:r>
      <w:r>
        <w:rPr>
          <w:rFonts w:ascii="Times" w:hAnsi="Times" w:eastAsia="Times"/>
          <w:b w:val="0"/>
          <w:i w:val="0"/>
          <w:color w:val="221F1F"/>
          <w:sz w:val="20"/>
        </w:rPr>
        <w:t>or profit or otherwise to the members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be affixed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except in the presence of the Chairperson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Secretary who shall sign their names to the instrument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token of their presence and such signing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independent of the signing of any person as a witness.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82" w:after="22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officer bearer of the Board as may be decided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 but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given or transferred to any other institution having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Indira Cancer Trust (Incorporation)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4" w:lineRule="auto" w:before="49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similar to those of the body corporate, and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rules thereof, prohibited from distributing any income </w:t>
      </w:r>
      <w:r>
        <w:rPr>
          <w:rFonts w:ascii="Times" w:hAnsi="Times" w:eastAsia="Times"/>
          <w:b w:val="0"/>
          <w:i w:val="0"/>
          <w:color w:val="221F1F"/>
          <w:sz w:val="20"/>
        </w:rPr>
        <w:t>or property among their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82" w:after="222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any 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Indira Cancer Trust (Incorporation)</w:t>
            </w:r>
          </w:p>
        </w:tc>
      </w:tr>
    </w:tbl>
    <w:p>
      <w:pPr>
        <w:autoSpaceDN w:val="0"/>
        <w:autoSpaceDE w:val="0"/>
        <w:widowControl/>
        <w:spacing w:line="238" w:lineRule="auto" w:before="914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