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42" w:after="0"/>
        <w:ind w:left="2448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IMMIGRANTS AND EMIGRANTS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1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8" w:after="0"/>
        <w:ind w:left="19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Immigrants and Emigrants Act (Chapter 351)</w:t>
      </w:r>
    </w:p>
    <w:p>
      <w:pPr>
        <w:autoSpaceDN w:val="0"/>
        <w:autoSpaceDE w:val="0"/>
        <w:widowControl/>
        <w:spacing w:line="238" w:lineRule="auto" w:before="22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0" w:after="0"/>
        <w:ind w:left="1440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Economic Policies &amp;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Plan Implementation, Minister of Buddhasasana, Religious &amp; Cultural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Affairs and Minister of Urban Development &amp; Housing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06th of September, 2021</w:t>
      </w:r>
    </w:p>
    <w:p>
      <w:pPr>
        <w:autoSpaceDN w:val="0"/>
        <w:autoSpaceDE w:val="0"/>
        <w:widowControl/>
        <w:spacing w:line="238" w:lineRule="auto" w:before="21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02, 2021)</w:t>
      </w:r>
    </w:p>
    <w:p>
      <w:pPr>
        <w:autoSpaceDN w:val="0"/>
        <w:autoSpaceDE w:val="0"/>
        <w:widowControl/>
        <w:spacing w:line="235" w:lineRule="auto" w:before="21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68]</w:t>
      </w:r>
    </w:p>
    <w:p>
      <w:pPr>
        <w:autoSpaceDN w:val="0"/>
        <w:tabs>
          <w:tab w:pos="2412" w:val="left"/>
          <w:tab w:pos="2638" w:val="left"/>
          <w:tab w:pos="5986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0"/>
        <w:ind w:left="0" w:right="0"/>
      </w:pPr>
    </w:p>
    <w:p>
      <w:pPr>
        <w:autoSpaceDN w:val="0"/>
        <w:tabs>
          <w:tab w:pos="1674" w:val="left"/>
          <w:tab w:pos="3332" w:val="left"/>
        </w:tabs>
        <w:autoSpaceDE w:val="0"/>
        <w:widowControl/>
        <w:spacing w:line="317" w:lineRule="auto" w:before="0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</w:t>
      </w:r>
      <w:r>
        <w:rPr>
          <w:rFonts w:ascii="Times,BoldItalic" w:hAnsi="Times,BoldItalic" w:eastAsia="Times,BoldItalic"/>
          <w:b/>
          <w:i/>
          <w:color w:val="221F1F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14 of the Immigrants and Emigrants 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351) and the legal effect of that clause is to increase the period of a visa and to </w:t>
      </w:r>
      <w:r>
        <w:rPr>
          <w:rFonts w:ascii="Times" w:hAnsi="Times" w:eastAsia="Times"/>
          <w:b w:val="0"/>
          <w:i w:val="0"/>
          <w:color w:val="221F1F"/>
          <w:sz w:val="16"/>
        </w:rPr>
        <w:t>make provisions for the Minister to determine the period of permanent residence visa.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24/2018</w:t>
      </w:r>
    </w:p>
    <w:p>
      <w:pPr>
        <w:autoSpaceDN w:val="0"/>
        <w:autoSpaceDE w:val="0"/>
        <w:widowControl/>
        <w:spacing w:line="247" w:lineRule="auto" w:before="26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MMIGRANTS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MIGRANTS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351)</w:t>
      </w:r>
    </w:p>
    <w:p>
      <w:pPr>
        <w:autoSpaceDN w:val="0"/>
        <w:autoSpaceDE w:val="0"/>
        <w:widowControl/>
        <w:spacing w:line="247" w:lineRule="auto" w:before="26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Immigrants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Emigrants (Amendment)  Act, No.    of 2021.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Immigrants and Emigrants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351) is hereby amended 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351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words, “two years,” of the words “five years,”;</w:t>
      </w:r>
    </w:p>
    <w:p>
      <w:pPr>
        <w:autoSpaceDN w:val="0"/>
        <w:autoSpaceDE w:val="0"/>
        <w:widowControl/>
        <w:spacing w:line="235" w:lineRule="auto" w:before="230" w:after="2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(2) thereof, by the substitution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words, “exceeding two years but not exceeding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years,” of the words “exceeding five years but not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ten years,”; and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30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subsection 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subsection:—</w:t>
      </w:r>
    </w:p>
    <w:p>
      <w:pPr>
        <w:autoSpaceDN w:val="0"/>
        <w:tabs>
          <w:tab w:pos="2378" w:val="left"/>
          <w:tab w:pos="2638" w:val="left"/>
        </w:tabs>
        <w:autoSpaceDE w:val="0"/>
        <w:widowControl/>
        <w:spacing w:line="245" w:lineRule="auto" w:before="21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,Italic" w:hAnsi="Times,Italic" w:eastAsia="Times,Italic"/>
          <w:b w:val="0"/>
          <w:i/>
          <w:color w:val="221F1F"/>
          <w:sz w:val="14"/>
        </w:rPr>
        <w:t>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the time limits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subsections (1) and (2),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 residence visa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“permanent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visa” means, a visa granted under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made under this Act.”.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98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