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450" w:after="0"/>
        <w:ind w:left="0" w:right="296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September 10, 2021</w:t>
      </w:r>
    </w:p>
    <w:p>
      <w:pPr>
        <w:autoSpaceDN w:val="0"/>
        <w:autoSpaceDE w:val="0"/>
        <w:widowControl/>
        <w:spacing w:line="238" w:lineRule="auto" w:before="448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416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10.09.2021)</w:t>
      </w:r>
    </w:p>
    <w:p>
      <w:pPr>
        <w:autoSpaceDN w:val="0"/>
        <w:autoSpaceDE w:val="0"/>
        <w:widowControl/>
        <w:spacing w:line="240" w:lineRule="auto" w:before="41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74" w:after="0"/>
        <w:ind w:left="0" w:right="270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PENAL CODE (AMENDMENT)</w:t>
      </w:r>
    </w:p>
    <w:p>
      <w:pPr>
        <w:autoSpaceDN w:val="0"/>
        <w:autoSpaceDE w:val="0"/>
        <w:widowControl/>
        <w:spacing w:line="238" w:lineRule="auto" w:before="392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26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42" w:after="0"/>
        <w:ind w:left="0" w:right="283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Penal Code (Chapter 19)</w:t>
      </w:r>
    </w:p>
    <w:p>
      <w:pPr>
        <w:autoSpaceDN w:val="0"/>
        <w:autoSpaceDE w:val="0"/>
        <w:widowControl/>
        <w:spacing w:line="235" w:lineRule="auto" w:before="304" w:after="0"/>
        <w:ind w:left="0" w:right="242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Justice</w:t>
      </w:r>
    </w:p>
    <w:p>
      <w:pPr>
        <w:autoSpaceDN w:val="0"/>
        <w:autoSpaceDE w:val="0"/>
        <w:widowControl/>
        <w:spacing w:line="238" w:lineRule="auto" w:before="246" w:after="0"/>
        <w:ind w:left="0" w:right="260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13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88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33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54" w:lineRule="auto" w:before="214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2 </w:t>
      </w:r>
      <w:r>
        <w:rPr>
          <w:rFonts w:ascii="Times,BoldItalic" w:hAnsi="Times,BoldItalic" w:eastAsia="Times,BoldItalic"/>
          <w:b/>
          <w:i/>
          <w:color w:val="221F1F"/>
          <w:sz w:val="16"/>
        </w:rPr>
        <w:t xml:space="preserve">: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This clause amends section 53 of the Penal Code (Chapter 19)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amendment is to make provisions to state that sentence of death shall not be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pronounced on or recorded against any person who is under the age of eighteen years, at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time of the commission of an offence by such person and to detain him in a detention </w:t>
      </w:r>
      <w:r>
        <w:rPr>
          <w:rFonts w:ascii="Times" w:hAnsi="Times" w:eastAsia="Times"/>
          <w:b w:val="0"/>
          <w:i w:val="0"/>
          <w:color w:val="221F1F"/>
          <w:sz w:val="16"/>
        </w:rPr>
        <w:t>institution in lieu of sentencing him to death.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6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Penal Code (Amendment)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2426" w:val="left"/>
        </w:tabs>
        <w:autoSpaceDE w:val="0"/>
        <w:widowControl/>
        <w:spacing w:line="374" w:lineRule="auto" w:before="424" w:after="0"/>
        <w:ind w:left="1798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L.D.—O. 12/2021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19)</w:t>
      </w:r>
    </w:p>
    <w:p>
      <w:pPr>
        <w:autoSpaceDN w:val="0"/>
        <w:autoSpaceDE w:val="0"/>
        <w:widowControl/>
        <w:spacing w:line="247" w:lineRule="auto" w:before="266" w:after="17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 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32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0" w:right="94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Penal Code (Amendment)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356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   of 2021.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379"/>
        </w:trPr>
        <w:tc>
          <w:tcPr>
            <w:tcW w:type="dxa" w:w="1503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0" w:right="94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53 of the Penal Code (Chapter 19) is hereby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6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53</w:t>
            </w:r>
          </w:p>
        </w:tc>
      </w:tr>
      <w:tr>
        <w:trPr>
          <w:trHeight w:hRule="exact" w:val="204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Chapter 19</w:t>
            </w:r>
          </w:p>
        </w:tc>
      </w:tr>
      <w:tr>
        <w:trPr>
          <w:trHeight w:hRule="exact" w:val="358"/>
        </w:trPr>
        <w:tc>
          <w:tcPr>
            <w:tcW w:type="dxa" w:w="1503"/>
            <w:vMerge/>
            <w:tcBorders/>
          </w:tcPr>
          <w:p/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“Punishment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detention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lieu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death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53.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Sentence of death shall not be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928"/>
        </w:trPr>
        <w:tc>
          <w:tcPr>
            <w:tcW w:type="dxa" w:w="1503"/>
            <w:vMerge/>
            <w:tcBorders/>
          </w:tcPr>
          <w:p/>
        </w:tc>
        <w:tc>
          <w:tcPr>
            <w:tcW w:type="dxa" w:w="3006"/>
            <w:gridSpan w:val="2"/>
            <w:vMerge/>
            <w:tcBorders/>
          </w:tcPr>
          <w:p/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pronounced on or recorded against any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who, is under the age of eighteen years, at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time of the commission of an offence by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person.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30"/>
        <w:ind w:left="1796" w:right="63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eighteen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years of 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Court shall, in lieu of sentencing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person to death, sentence him to be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detained in an institution established under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 for the detention of persons under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age of eighteen years, for a period specified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sentence and subject to the provisions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written law.”.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1804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20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3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Penal Code (Amendment)</w:t>
            </w:r>
          </w:p>
        </w:tc>
      </w:tr>
    </w:tbl>
    <w:p>
      <w:pPr>
        <w:autoSpaceDN w:val="0"/>
        <w:autoSpaceDE w:val="0"/>
        <w:widowControl/>
        <w:spacing w:line="238" w:lineRule="auto" w:before="8908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