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29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September 17, 2021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21.09.2021)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8" w:after="0"/>
        <w:ind w:left="0" w:right="24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NALIN FERNANDO FOUNDATION</w:t>
      </w:r>
    </w:p>
    <w:p>
      <w:pPr>
        <w:autoSpaceDN w:val="0"/>
        <w:autoSpaceDE w:val="0"/>
        <w:widowControl/>
        <w:spacing w:line="238" w:lineRule="auto" w:before="16" w:after="0"/>
        <w:ind w:left="0" w:right="33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36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5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60" w:after="0"/>
        <w:ind w:left="0" w:right="24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Nalin Fernando Foundation</w:t>
      </w:r>
    </w:p>
    <w:p>
      <w:pPr>
        <w:autoSpaceDN w:val="0"/>
        <w:autoSpaceDE w:val="0"/>
        <w:widowControl/>
        <w:spacing w:line="238" w:lineRule="auto" w:before="198" w:after="0"/>
        <w:ind w:left="20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Nalin Fernando, M.P.</w:t>
      </w:r>
    </w:p>
    <w:p>
      <w:pPr>
        <w:autoSpaceDN w:val="0"/>
        <w:autoSpaceDE w:val="0"/>
        <w:widowControl/>
        <w:spacing w:line="235" w:lineRule="auto" w:before="0" w:after="0"/>
        <w:ind w:left="0" w:right="359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Gampaha District</w:t>
      </w:r>
    </w:p>
    <w:p>
      <w:pPr>
        <w:autoSpaceDN w:val="0"/>
        <w:autoSpaceDE w:val="0"/>
        <w:widowControl/>
        <w:spacing w:line="238" w:lineRule="auto" w:before="208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Nalin Fernando Foundation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ALIN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ERNANDO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54" w:lineRule="auto" w:before="264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“Nalin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Fernando Foundation” has  heretofore been created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 carrying out 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with the said Foundation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 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the said Foundation was established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has  applied to be incorporated and it will be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grant the such application :</w:t>
      </w:r>
    </w:p>
    <w:p>
      <w:pPr>
        <w:autoSpaceDN w:val="0"/>
        <w:autoSpaceDE w:val="0"/>
        <w:widowControl/>
        <w:spacing w:line="247" w:lineRule="auto" w:before="264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Nalin Fernando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2021.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0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Nalin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Fernando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Nalin Fernando Foundation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perpetual succession, under the name and style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Nalin Fernando Foundation (hereinafter  referred to as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full  power and authority to have and to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exact" w:before="2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84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objectives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improve mutual understanding, peaceful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coexistent, religious harmony, spiritual development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citizens of Sri Lanka through religious,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cultural, social and economic inter activities;</w:t>
      </w:r>
    </w:p>
    <w:p>
      <w:pPr>
        <w:autoSpaceDN w:val="0"/>
        <w:autoSpaceDE w:val="0"/>
        <w:widowControl/>
        <w:spacing w:line="245" w:lineRule="auto" w:before="230" w:after="0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assist financially or otherwise in order to develop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skills and challenges enabling to concentrate </w:t>
      </w:r>
      <w:r>
        <w:rPr>
          <w:rFonts w:ascii="Times" w:hAnsi="Times" w:eastAsia="Times"/>
          <w:b w:val="0"/>
          <w:i w:val="0"/>
          <w:color w:val="221F1F"/>
          <w:sz w:val="20"/>
        </w:rPr>
        <w:t>on self-employment;</w:t>
      </w:r>
    </w:p>
    <w:p>
      <w:pPr>
        <w:autoSpaceDN w:val="0"/>
        <w:tabs>
          <w:tab w:pos="1962" w:val="left"/>
          <w:tab w:pos="2304" w:val="left"/>
        </w:tabs>
        <w:autoSpaceDE w:val="0"/>
        <w:widowControl/>
        <w:spacing w:line="245" w:lineRule="auto" w:before="21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help by providing uniforms, instruments and text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books for the needy students and also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scholarship for their secondary and tertiary education;</w:t>
      </w:r>
    </w:p>
    <w:p>
      <w:pPr>
        <w:autoSpaceDN w:val="0"/>
        <w:autoSpaceDE w:val="0"/>
        <w:widowControl/>
        <w:spacing w:line="235" w:lineRule="auto" w:before="230" w:after="0"/>
        <w:ind w:left="19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fields for appropriate projects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youths who leave from school and also support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through maintaining such projects in the focus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training in order to face the competitive demand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future employment opportunities;</w:t>
      </w:r>
    </w:p>
    <w:p>
      <w:pPr>
        <w:autoSpaceDN w:val="0"/>
        <w:autoSpaceDE w:val="0"/>
        <w:widowControl/>
        <w:spacing w:line="235" w:lineRule="auto" w:before="230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to identify projects such as sport, music of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3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divisional and rural levels and motivate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improving their simultaneous skills through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3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such projects in order to face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 demand increasing for the future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employment opportunities;</w:t>
      </w:r>
    </w:p>
    <w:p>
      <w:pPr>
        <w:autoSpaceDN w:val="0"/>
        <w:tabs>
          <w:tab w:pos="1994" w:val="left"/>
          <w:tab w:pos="2304" w:val="left"/>
        </w:tabs>
        <w:autoSpaceDE w:val="0"/>
        <w:widowControl/>
        <w:spacing w:line="245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help and subsidy to improve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personality of the disabled persons;</w:t>
      </w:r>
    </w:p>
    <w:p>
      <w:pPr>
        <w:autoSpaceDN w:val="0"/>
        <w:autoSpaceDE w:val="0"/>
        <w:widowControl/>
        <w:spacing w:line="245" w:lineRule="auto" w:before="230" w:after="0"/>
        <w:ind w:left="2304" w:right="251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a human generation with healthy, polite,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patriotic and humanity qualities and to implement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programs in order to educate youths for promoting a </w:t>
      </w:r>
      <w:r>
        <w:rPr>
          <w:rFonts w:ascii="Times" w:hAnsi="Times" w:eastAsia="Times"/>
          <w:b w:val="0"/>
          <w:i w:val="0"/>
          <w:color w:val="221F1F"/>
          <w:sz w:val="20"/>
        </w:rPr>
        <w:t>society free of tobacco, alcohol and drugs;</w:t>
      </w:r>
    </w:p>
    <w:p>
      <w:pPr>
        <w:autoSpaceDN w:val="0"/>
        <w:tabs>
          <w:tab w:pos="1948" w:val="left"/>
          <w:tab w:pos="2304" w:val="left"/>
        </w:tabs>
        <w:autoSpaceDE w:val="0"/>
        <w:widowControl/>
        <w:spacing w:line="245" w:lineRule="auto" w:before="2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identify the health related needs of the people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far away rural areas and conducting clinic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camps for such areas and execute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treatment for needy people;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66" w:after="0"/>
        <w:ind w:left="2398" w:right="2422" w:hanging="3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lectures, seminars and educational trips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students enabling to prepare for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exams;</w:t>
      </w:r>
    </w:p>
    <w:p>
      <w:pPr>
        <w:autoSpaceDN w:val="0"/>
        <w:autoSpaceDE w:val="0"/>
        <w:widowControl/>
        <w:spacing w:line="238" w:lineRule="auto" w:before="292" w:after="0"/>
        <w:ind w:left="20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to organize for involving in the volunteer activities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2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area people in order to find ways to cover their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expenses of infrastructure requirements on housing,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water and road etc.;</w:t>
      </w:r>
    </w:p>
    <w:p>
      <w:pPr>
        <w:autoSpaceDN w:val="0"/>
        <w:tabs>
          <w:tab w:pos="2056" w:val="left"/>
          <w:tab w:pos="2398" w:val="left"/>
        </w:tabs>
        <w:autoSpaceDE w:val="0"/>
        <w:widowControl/>
        <w:spacing w:line="264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find our practical activities to protect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system endangered due to human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activities, to educate the society in order to minimize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damage to the environment and to create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friendly environmental society;</w:t>
      </w:r>
    </w:p>
    <w:p>
      <w:pPr>
        <w:autoSpaceDN w:val="0"/>
        <w:tabs>
          <w:tab w:pos="2088" w:val="left"/>
          <w:tab w:pos="2398" w:val="left"/>
        </w:tabs>
        <w:autoSpaceDE w:val="0"/>
        <w:widowControl/>
        <w:spacing w:line="262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leadership training programs for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place for women, to identify the obstacles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livelihood and to find out due solution to overcome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such obstacles;</w:t>
      </w:r>
    </w:p>
    <w:p>
      <w:pPr>
        <w:autoSpaceDN w:val="0"/>
        <w:tabs>
          <w:tab w:pos="2014" w:val="left"/>
          <w:tab w:pos="239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 serious and special medical clinics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pregnant women, to conduct programs such as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“Suwanari” and by identifying the diseases early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get necessary consultations for avoidable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deceases;</w:t>
      </w:r>
    </w:p>
    <w:p>
      <w:pPr>
        <w:autoSpaceDN w:val="0"/>
        <w:tabs>
          <w:tab w:pos="2398" w:val="left"/>
        </w:tabs>
        <w:autoSpaceDE w:val="0"/>
        <w:widowControl/>
        <w:spacing w:line="254" w:lineRule="auto" w:before="294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uplift the health, education and nutrition status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infants and special attention needy children;</w:t>
      </w:r>
    </w:p>
    <w:p>
      <w:pPr>
        <w:autoSpaceDN w:val="0"/>
        <w:autoSpaceDE w:val="0"/>
        <w:widowControl/>
        <w:spacing w:line="238" w:lineRule="auto" w:before="294" w:after="0"/>
        <w:ind w:left="20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to act to enhance the quality and infrastructure</w:t>
      </w:r>
    </w:p>
    <w:p>
      <w:pPr>
        <w:autoSpaceDN w:val="0"/>
        <w:tabs>
          <w:tab w:pos="2398" w:val="left"/>
        </w:tabs>
        <w:autoSpaceDE w:val="0"/>
        <w:widowControl/>
        <w:spacing w:line="25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of pre-schools conducted in the rural levels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making arrangement to improve the nutrition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level and good qualities of the students; and</w:t>
      </w:r>
    </w:p>
    <w:p>
      <w:pPr>
        <w:autoSpaceDN w:val="0"/>
        <w:tabs>
          <w:tab w:pos="2398" w:val="left"/>
        </w:tabs>
        <w:autoSpaceDE w:val="0"/>
        <w:widowControl/>
        <w:spacing w:line="257" w:lineRule="auto" w:before="290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unite all the ethnic groups in order to improve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unity and cohesiveness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96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shall be carried out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408"/>
        <w:ind w:left="6480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affairs of the Corporation shall, subject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and the rules made under section ....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 by a Committe of Management(hereinafter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“Committee”) consisting of the Chairman,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Secretary, Treasurer, Vice President, Assistant Secretary,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Ordient Patron (Pewedi Anusasaka), Layment Patron (Gihi </w:t>
      </w:r>
      <w:r>
        <w:rPr>
          <w:rFonts w:ascii="Times" w:hAnsi="Times" w:eastAsia="Times"/>
          <w:b w:val="0"/>
          <w:i w:val="0"/>
          <w:color w:val="221F1F"/>
          <w:sz w:val="20"/>
        </w:rPr>
        <w:t>Anusasaka) and not less than 10 members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Nalin Fernando, Member of Parliament shall be the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the Committee of Management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4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Committee of the Corporation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of Management of the Foundation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who shall hold office until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members are elected in terms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2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first Committee of the Corporation shall be appointed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2" w:lineRule="auto" w:before="260" w:after="0"/>
        <w:ind w:left="170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Council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and any such office bearer, patron or advisor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elegible for re-appointment or re-election after a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2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lapse of the said period of three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having regard to the rules of the Corporation,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power to elect or appoint a person to fill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vacancy who shall have to hold the post until the next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annual general meeting;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lease out or rent, sale or sell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movable or immovable property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Corporation and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lawfully be acquired for the purpose and to deal with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deem expedient with a view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promoting the object of the Corporation;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 and dismiss the employees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for carrying out of the objects of the Corporation;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relationship with local and foreign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function with similar objectives and co-ordinate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them; and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have the power do all other acts and </w:t>
      </w:r>
      <w:r>
        <w:rPr>
          <w:rFonts w:ascii="Times" w:hAnsi="Times" w:eastAsia="Times"/>
          <w:b w:val="0"/>
          <w:i w:val="0"/>
          <w:color w:val="221F1F"/>
          <w:sz w:val="20"/>
        </w:rPr>
        <w:t>things as are necessary or expedient for the proper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effective carrying out of the objects of the Corporation.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or at a special general meeting 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majority of not less than one - thirds of the members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all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 :—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84"/>
        <w:ind w:left="213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bearers, their term of office,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from, or vacation of, or removal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and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and the terms of office of members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other than the office bearers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and duties of the Committee;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0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70" w:after="0"/>
        <w:ind w:left="20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withdrawal,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expulsion of members and membership fees;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64" w:lineRule="auto" w:before="30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</w:t>
      </w:r>
    </w:p>
    <w:p>
      <w:pPr>
        <w:autoSpaceDN w:val="0"/>
        <w:autoSpaceDE w:val="0"/>
        <w:widowControl/>
        <w:spacing w:line="264" w:lineRule="auto" w:before="306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any meetings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and the quorum therefore and the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business thereat; and</w:t>
      </w:r>
    </w:p>
    <w:p>
      <w:pPr>
        <w:autoSpaceDN w:val="0"/>
        <w:autoSpaceDE w:val="0"/>
        <w:widowControl/>
        <w:spacing w:line="235" w:lineRule="auto" w:before="306" w:after="2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management of the affairs of the Corporation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rule made by the Corporation may be amended,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subsection.</w:t>
      </w:r>
    </w:p>
    <w:p>
      <w:pPr>
        <w:autoSpaceDN w:val="0"/>
        <w:autoSpaceDE w:val="0"/>
        <w:widowControl/>
        <w:spacing w:line="238" w:lineRule="auto" w:before="3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made under subsection (1)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Gazetted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Corporarion shall be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p>
      <w:pPr>
        <w:autoSpaceDN w:val="0"/>
        <w:tabs>
          <w:tab w:pos="1942" w:val="left"/>
          <w:tab w:pos="2294" w:val="left"/>
          <w:tab w:pos="6622" w:val="left"/>
        </w:tabs>
        <w:autoSpaceDE w:val="0"/>
        <w:widowControl/>
        <w:spacing w:line="257" w:lineRule="auto" w:before="306" w:after="0"/>
        <w:ind w:left="1702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The Corporation shall have its own Fund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monies heretofore or hereafter to be received from locally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Corporation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countries by way of gift, bequest, donation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subscription, contribution or grants on behalf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shall be deposited to the credit of the Fund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in one or more banks as the Committee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30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may be required to defray any expenditure incurred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Corporation in the exercise, performance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184"/>
        <w:ind w:left="302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 be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  <w:tr>
        <w:trPr>
          <w:trHeight w:hRule="exact" w:val="24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income and expenditure, assets and liabilities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45" w:lineRule="auto" w:before="60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Accounts of the Corporation shall be audited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qualified auditor appointed by the Committee.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70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Chartered Accountants of Sri Lanka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any other Institute establishment by law,</w:t>
            </w:r>
          </w:p>
        </w:tc>
      </w:tr>
    </w:tbl>
    <w:p>
      <w:pPr>
        <w:autoSpaceDN w:val="0"/>
        <w:autoSpaceDE w:val="0"/>
        <w:widowControl/>
        <w:spacing w:line="245" w:lineRule="auto" w:before="2" w:after="252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3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partners of which, being a member of the Institute</w:t>
            </w:r>
          </w:p>
        </w:tc>
      </w:tr>
    </w:tbl>
    <w:p>
      <w:pPr>
        <w:autoSpaceDN w:val="0"/>
        <w:autoSpaceDE w:val="0"/>
        <w:widowControl/>
        <w:spacing w:line="245" w:lineRule="auto" w:before="6" w:after="426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Council 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Committee shall prepare a report of the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Corporation for each financial year and submit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Organizations appointed under the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succeeding the year to which such report relates.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6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monies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34" w:val="left"/>
          <w:tab w:pos="3468" w:val="left"/>
        </w:tabs>
        <w:autoSpaceDE w:val="0"/>
        <w:widowControl/>
        <w:spacing w:line="228" w:lineRule="exact" w:before="38" w:after="190"/>
        <w:ind w:left="1704" w:right="37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Nalin Fernando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 and to Section 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Corporation  shall be able and capable in law to acquire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 any property, both movable and immovable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way of purchase, grant, gift, or testamentary disposition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of the Corporation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exchange,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218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Corporation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except in the presence of the Chairmen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12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members of the Corporation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Committee, who shall sign their names to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 and such signing shall be independent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signing of any person as 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Nalin Fernando Foundation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980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