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293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September  24, 2021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27.09.2021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84" w:after="0"/>
        <w:ind w:left="2736" w:right="259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AKURANA BAITHUZ ZAKATH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262" w:after="0"/>
        <w:ind w:left="0" w:right="35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Private Members’ Bill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5" w:lineRule="auto" w:before="294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39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incorporate the Akurana Baithuz Zakath</w:t>
      </w:r>
    </w:p>
    <w:p>
      <w:pPr>
        <w:autoSpaceDN w:val="0"/>
        <w:autoSpaceDE w:val="0"/>
        <w:widowControl/>
        <w:spacing w:line="245" w:lineRule="auto" w:before="274" w:after="0"/>
        <w:ind w:left="1872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Imran Maharoof M.P.  for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Trincomalee District</w:t>
      </w:r>
    </w:p>
    <w:p>
      <w:pPr>
        <w:autoSpaceDN w:val="0"/>
        <w:autoSpaceDE w:val="0"/>
        <w:widowControl/>
        <w:spacing w:line="245" w:lineRule="auto" w:before="144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5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6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72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72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4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Akurana Baithuz Zakath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0" w:lineRule="auto" w:before="262" w:after="0"/>
        <w:ind w:left="2736" w:right="331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KURANA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14"/>
        </w:rPr>
        <w:t>AITHUZ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Z</w:t>
      </w:r>
      <w:r>
        <w:rPr>
          <w:rFonts w:ascii="Times" w:hAnsi="Times" w:eastAsia="Times"/>
          <w:b w:val="0"/>
          <w:i w:val="0"/>
          <w:color w:val="221F1F"/>
          <w:sz w:val="14"/>
        </w:rPr>
        <w:t>AKATH</w:t>
      </w:r>
    </w:p>
    <w:p>
      <w:pPr>
        <w:autoSpaceDN w:val="0"/>
        <w:tabs>
          <w:tab w:pos="6718" w:val="left"/>
        </w:tabs>
        <w:autoSpaceDE w:val="0"/>
        <w:widowControl/>
        <w:spacing w:line="259" w:lineRule="auto" w:before="282" w:after="0"/>
        <w:ind w:left="1798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Organization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“Akurana Baithuz Zakath” has heretofore been formed  in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 for the purpose of effectually carrying out its objects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transacting all matters connected  with the said</w:t>
      </w:r>
    </w:p>
    <w:p>
      <w:pPr>
        <w:autoSpaceDN w:val="0"/>
        <w:tabs>
          <w:tab w:pos="1798" w:val="left"/>
        </w:tabs>
        <w:autoSpaceDE w:val="0"/>
        <w:widowControl/>
        <w:spacing w:line="274" w:lineRule="auto" w:before="2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Organization  according to the rules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248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Organization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a several objects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for which it was established, and has applied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incorporated, and it will be expedient in public interest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grant the said application :</w:t>
      </w:r>
    </w:p>
    <w:p>
      <w:pPr>
        <w:autoSpaceDN w:val="0"/>
        <w:autoSpaceDE w:val="0"/>
        <w:widowControl/>
        <w:spacing w:line="252" w:lineRule="auto" w:before="278" w:after="21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Akurana Baithuz Zakath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2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(Incorporation) Act, No.    of 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 the Akurana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Akurana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Baithuz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Baithuz Zakath (hereinafter referred to as the “Organization”)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Zakath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shall hereafter be admitted as members of the Corporation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14" w:after="218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hereby constituted, shall be a body corporate with perpetual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succession, under the name and style of  the “Akurana Baithuz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Zakath” (hereinafter referred to as the  “Corporation”) and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name may sue and be sued, with full power and  authority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have and  use a common seal and to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9" w:lineRule="auto" w:before="64" w:after="0"/>
        <w:ind w:left="239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eliminate poverty and to collect Zakath (annual </w:t>
      </w:r>
      <w:r>
        <w:rPr>
          <w:rFonts w:ascii="Times" w:hAnsi="Times" w:eastAsia="Times"/>
          <w:b w:val="0"/>
          <w:i w:val="0"/>
          <w:color w:val="221F1F"/>
          <w:sz w:val="20"/>
        </w:rPr>
        <w:t>donation) fund and distribute according to Islamic</w:t>
      </w:r>
      <w:r>
        <w:rPr>
          <w:rFonts w:ascii="Times" w:hAnsi="Times" w:eastAsia="Times"/>
          <w:b w:val="0"/>
          <w:i w:val="0"/>
          <w:color w:val="221F1F"/>
          <w:sz w:val="20"/>
        </w:rPr>
        <w:t>‘Sharia’ Law 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6" w:val="left"/>
          <w:tab w:pos="3466" w:val="left"/>
        </w:tabs>
        <w:autoSpaceDE w:val="0"/>
        <w:widowControl/>
        <w:spacing w:line="245" w:lineRule="auto" w:before="0" w:after="0"/>
        <w:ind w:left="1702" w:right="388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Akurana Baithuz Zakath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302" w:val="left"/>
        </w:tabs>
        <w:autoSpaceDE w:val="0"/>
        <w:widowControl/>
        <w:spacing w:line="245" w:lineRule="auto" w:before="254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the conditions of religious, health, educational,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cultural, social and economical development;</w:t>
      </w:r>
    </w:p>
    <w:p>
      <w:pPr>
        <w:autoSpaceDN w:val="0"/>
        <w:tabs>
          <w:tab w:pos="2302" w:val="left"/>
        </w:tabs>
        <w:autoSpaceDE w:val="0"/>
        <w:widowControl/>
        <w:spacing w:line="245" w:lineRule="auto" w:before="172" w:after="0"/>
        <w:ind w:left="19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contribute to achieve racial and communal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harmony; and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47" w:lineRule="auto" w:before="174" w:after="198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such other acts and things as are necessary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and incidental or conducive to the attainment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above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affairs of the Corporation shall, subject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 in force for the time being of the Corporation,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administered by a Board of Management elected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the rules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92" w:after="2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Board of Management of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consist of the members of the Board of Management of </w:t>
      </w:r>
      <w:r>
        <w:rPr>
          <w:rFonts w:ascii="Times" w:hAnsi="Times" w:eastAsia="Times"/>
          <w:b w:val="0"/>
          <w:i w:val="0"/>
          <w:color w:val="221F1F"/>
          <w:sz w:val="20"/>
        </w:rPr>
        <w:t>the Organization holding office on the day preceding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of commencement of this Act.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5. 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 of this Act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acts, matters and things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6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 as are  necessary or desirable for the furtherance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its objects  or any one of them, including the power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open, operate and close bank accounts, to borrow or raise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with or without security, to receive or collect grants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donations, to invest its funds, to erect any building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structure on any land held by the Corporation, and to engage,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 and dismiss officers and servants required for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carrying out of the objects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at any general meeting and by the votes of not less than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 thirds of the members present and voting, to make rules,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inconsistent with the provision of this Act or any other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for the admission, withdrawal or expulsion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members, the election of the Board of Management,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 of the duties of the office bearers, agents and servants </w:t>
      </w:r>
      <w:r>
        <w:rPr>
          <w:rFonts w:ascii="Times" w:hAnsi="Times" w:eastAsia="Times"/>
          <w:b w:val="0"/>
          <w:i w:val="0"/>
          <w:color w:val="221F1F"/>
          <w:sz w:val="20"/>
        </w:rPr>
        <w:t>of the Corporation, for the procedure to be followed in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494" w:val="left"/>
        </w:tabs>
        <w:autoSpaceDE w:val="0"/>
        <w:widowControl/>
        <w:spacing w:line="245" w:lineRule="auto" w:before="0" w:after="0"/>
        <w:ind w:left="320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Akurana Baithuz Zakath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1798" w:val="left"/>
        </w:tabs>
        <w:autoSpaceDE w:val="0"/>
        <w:widowControl/>
        <w:spacing w:line="269" w:lineRule="auto" w:before="26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transaction of business by the Corporation and Board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and generally, for the management of the affairs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 and the accomplishment of its objects.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rules when made may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manner, be altered, added to, amended or rescinded.</w:t>
      </w:r>
    </w:p>
    <w:p>
      <w:pPr>
        <w:autoSpaceDN w:val="0"/>
        <w:tabs>
          <w:tab w:pos="2038" w:val="left"/>
        </w:tabs>
        <w:autoSpaceDE w:val="0"/>
        <w:widowControl/>
        <w:spacing w:line="254" w:lineRule="auto" w:before="276" w:after="23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members of the Corporation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>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Fund. All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received by way of gift, bequest, donation, transfer,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subscription, contribution or fees shall be deposited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credit of the Corporation in one or more Banks as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>of Trustees shall determine.</w:t>
      </w:r>
    </w:p>
    <w:p>
      <w:pPr>
        <w:autoSpaceDN w:val="0"/>
        <w:autoSpaceDE w:val="0"/>
        <w:widowControl/>
        <w:spacing w:line="254" w:lineRule="auto" w:before="292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 of the Corporation, </w:t>
      </w:r>
      <w:r>
        <w:rPr>
          <w:rFonts w:ascii="Times" w:hAnsi="Times" w:eastAsia="Times"/>
          <w:b w:val="0"/>
          <w:i w:val="0"/>
          <w:color w:val="221F1F"/>
          <w:sz w:val="20"/>
        </w:rPr>
        <w:t>all such sums of money as may be required to defray any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32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incurred by the Corporation in carrying out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objects of the Corporation.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94" w:after="234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moneys and property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whosesoever derived shall be applied solely towards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promotion of the objects as setforth herein and no portion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shall be paid or transferred directly or indirectly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dividend, bonus or otherwise, to any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4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Corporation shall cause proper accounts to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Corporation.</w:t>
      </w:r>
    </w:p>
    <w:p>
      <w:pPr>
        <w:autoSpaceDN w:val="0"/>
        <w:tabs>
          <w:tab w:pos="2038" w:val="left"/>
        </w:tabs>
        <w:autoSpaceDE w:val="0"/>
        <w:widowControl/>
        <w:spacing w:line="257" w:lineRule="auto" w:before="29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audited by a </w:t>
      </w:r>
      <w:r>
        <w:rPr>
          <w:rFonts w:ascii="Times" w:hAnsi="Times" w:eastAsia="Times"/>
          <w:b w:val="0"/>
          <w:i w:val="0"/>
          <w:color w:val="221F1F"/>
          <w:sz w:val="20"/>
        </w:rPr>
        <w:t>qualified auditor as  may be determined by the 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6" w:val="left"/>
          <w:tab w:pos="3466" w:val="left"/>
        </w:tabs>
        <w:autoSpaceDE w:val="0"/>
        <w:widowControl/>
        <w:spacing w:line="245" w:lineRule="auto" w:before="0" w:after="0"/>
        <w:ind w:left="1702" w:right="388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Akurana Baithuz Zakath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260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section, “Qualified Auditor” means —</w:t>
      </w:r>
    </w:p>
    <w:p>
      <w:pPr>
        <w:autoSpaceDN w:val="0"/>
        <w:tabs>
          <w:tab w:pos="2782" w:val="left"/>
          <w:tab w:pos="2792" w:val="left"/>
        </w:tabs>
        <w:autoSpaceDE w:val="0"/>
        <w:widowControl/>
        <w:spacing w:line="254" w:lineRule="auto" w:before="276" w:after="0"/>
        <w:ind w:left="238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 being a member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any other institute established by law,</w:t>
      </w:r>
    </w:p>
    <w:p>
      <w:pPr>
        <w:autoSpaceDN w:val="0"/>
        <w:tabs>
          <w:tab w:pos="2782" w:val="left"/>
        </w:tabs>
        <w:autoSpaceDE w:val="0"/>
        <w:widowControl/>
        <w:spacing w:line="254" w:lineRule="auto" w:before="24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p>
      <w:pPr>
        <w:autoSpaceDN w:val="0"/>
        <w:tabs>
          <w:tab w:pos="2386" w:val="left"/>
          <w:tab w:pos="2782" w:val="left"/>
          <w:tab w:pos="2792" w:val="left"/>
        </w:tabs>
        <w:autoSpaceDE w:val="0"/>
        <w:widowControl/>
        <w:spacing w:line="259" w:lineRule="auto" w:before="276" w:after="216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 each of the resident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of any other institute established by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whatsoever, except in the presence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12" w:after="216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or a member of the Board as may by duly authorized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Board and another member of the Board  who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 their names on the instrument in token of their presence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signing shall be independent of the signing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as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member of the Corporatin shall, for the purpose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Limitation of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discharging the debts and liabilities of the Corporation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liability of</w:t>
            </w:r>
          </w:p>
        </w:tc>
      </w:tr>
      <w:tr>
        <w:trPr>
          <w:trHeight w:hRule="exact" w:val="2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other purpose, be liable to make any contribution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the amount of annual subscription payable by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21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him to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Organization existing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5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Corporation hereby constituted,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Organization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due to, and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Organization on that day shall be paid to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 for the purpose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494" w:val="left"/>
        </w:tabs>
        <w:autoSpaceDE w:val="0"/>
        <w:widowControl/>
        <w:spacing w:line="245" w:lineRule="auto" w:before="0" w:after="196"/>
        <w:ind w:left="320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Akurana Baithuz Zakath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able and capable in law,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take and hold any property movable or immovable which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become vested on it by virtue of any purchase, grant,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gift, testamentary disposition or otherwise, and all such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shall be held by the Corporation for the purposes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Act, and subject to the rules in force for the time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19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of the Corporation with full power to sell, mortgage, </w:t>
      </w:r>
      <w:r>
        <w:rPr>
          <w:rFonts w:ascii="Times" w:hAnsi="Times" w:eastAsia="Times"/>
          <w:b w:val="0"/>
          <w:i w:val="0"/>
          <w:color w:val="221F1F"/>
          <w:sz w:val="20"/>
        </w:rPr>
        <w:t>lease, 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112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 but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some other Institution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objects similar to those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Corporation, and which is or are by the rules thereof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prohibited from distributing any income or property among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or their members. Such Institution or Institutions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Board at or immediately before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body politic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of any other person, except such as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20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person shall be liable in any suit or other legal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Indemnity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preceding for any act done, or purporting to be done,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acts done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good faith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good faith in pursuance of the powers conferred by or under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or for the purpose of carrying out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6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Akurana Baithuz Zakath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884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