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29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24,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27.09.2021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54" w:after="0"/>
        <w:ind w:left="198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PROHIBITION OF ANTI-PERSONNEL MINES</w:t>
      </w:r>
    </w:p>
    <w:p>
      <w:pPr>
        <w:autoSpaceDN w:val="0"/>
        <w:autoSpaceDE w:val="0"/>
        <w:widowControl/>
        <w:spacing w:line="238" w:lineRule="auto" w:before="24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27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implementation of the Convention on the Prohibition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Use, Stockpiling, Production and Transfer of Anti-Personnel  Mines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and  on  Their  Destruction;  and  to  provide  for  matters connected therewith </w:t>
      </w:r>
      <w:r>
        <w:rPr>
          <w:rFonts w:ascii="Times,Bold" w:hAnsi="Times,Bold" w:eastAsia="Times,Bold"/>
          <w:b/>
          <w:i w:val="0"/>
          <w:color w:val="221F1F"/>
          <w:sz w:val="20"/>
        </w:rPr>
        <w:t>or incidental thereto</w:t>
      </w:r>
    </w:p>
    <w:p>
      <w:pPr>
        <w:autoSpaceDN w:val="0"/>
        <w:autoSpaceDE w:val="0"/>
        <w:widowControl/>
        <w:spacing w:line="238" w:lineRule="auto" w:before="404" w:after="0"/>
        <w:ind w:left="0" w:right="25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Minister of Justice</w:t>
      </w:r>
    </w:p>
    <w:p>
      <w:pPr>
        <w:autoSpaceDN w:val="0"/>
        <w:autoSpaceDE w:val="0"/>
        <w:widowControl/>
        <w:spacing w:line="245" w:lineRule="auto" w:before="16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4" w:val="left"/>
        </w:tabs>
        <w:autoSpaceDE w:val="0"/>
        <w:widowControl/>
        <w:spacing w:line="235" w:lineRule="auto" w:before="9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3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2" w:after="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40/2018</w:t>
      </w:r>
    </w:p>
    <w:p>
      <w:pPr>
        <w:autoSpaceDN w:val="0"/>
        <w:autoSpaceDE w:val="0"/>
        <w:widowControl/>
        <w:spacing w:line="245" w:lineRule="auto" w:before="254" w:after="0"/>
        <w:ind w:left="2078" w:right="23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IMPLEMENTATION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ONVENTION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PROHIBITION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STOCKPILING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PRODUCTION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TRANSFER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-P</w:t>
      </w:r>
      <w:r>
        <w:rPr>
          <w:rFonts w:ascii="Times" w:hAnsi="Times" w:eastAsia="Times"/>
          <w:b w:val="0"/>
          <w:i w:val="0"/>
          <w:color w:val="221F1F"/>
          <w:sz w:val="14"/>
        </w:rPr>
        <w:t>ERSONNEL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THEIR</w:t>
      </w:r>
      <w:r>
        <w:rPr>
          <w:rFonts w:ascii="Times" w:hAnsi="Times" w:eastAsia="Times"/>
          <w:b w:val="0"/>
          <w:i w:val="0"/>
          <w:color w:val="221F1F"/>
          <w:sz w:val="14"/>
        </w:rPr>
        <w:t>DESTRUCTION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52" w:lineRule="auto" w:before="68" w:after="0"/>
        <w:ind w:left="20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838" w:val="left"/>
          <w:tab w:pos="6758" w:val="left"/>
        </w:tabs>
        <w:autoSpaceDE w:val="0"/>
        <w:widowControl/>
        <w:spacing w:line="247" w:lineRule="auto" w:before="254" w:after="0"/>
        <w:ind w:left="154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Convention on the Prohibition of the Use,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Stockpiling, Production and Transfer of Anti-Personnel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Mines and on Their Destruction was concluded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Conference on an International Total Ban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Anti-Personnel Land Mines at Oslo on  September 18, 1997:</w:t>
      </w:r>
    </w:p>
    <w:p>
      <w:pPr>
        <w:autoSpaceDN w:val="0"/>
        <w:autoSpaceDE w:val="0"/>
        <w:widowControl/>
        <w:spacing w:line="245" w:lineRule="auto" w:before="254" w:after="0"/>
        <w:ind w:left="1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Convention was acceded to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 on December 13, 2017:</w:t>
      </w:r>
    </w:p>
    <w:p>
      <w:pPr>
        <w:autoSpaceDN w:val="0"/>
        <w:tabs>
          <w:tab w:pos="1838" w:val="left"/>
        </w:tabs>
        <w:autoSpaceDE w:val="0"/>
        <w:widowControl/>
        <w:spacing w:line="247" w:lineRule="auto" w:before="254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necessary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to make legislative provision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effect to Sri Lanka’s obligations under the aforesaid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Convention:</w:t>
      </w:r>
    </w:p>
    <w:p>
      <w:pPr>
        <w:autoSpaceDN w:val="0"/>
        <w:autoSpaceDE w:val="0"/>
        <w:widowControl/>
        <w:spacing w:line="245" w:lineRule="auto" w:before="254" w:after="194"/>
        <w:ind w:left="1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Prohibition of Anti-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Mines Act, No.    of  2021.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54" w:after="194"/>
        <w:ind w:left="0" w:right="4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apply to the acts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section 3 done by-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person within Sri Lanka and on board any ship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aircraft registered in Sri Lanka; or </w:t>
      </w:r>
    </w:p>
    <w:p>
      <w:pPr>
        <w:autoSpaceDN w:val="0"/>
        <w:autoSpaceDE w:val="0"/>
        <w:widowControl/>
        <w:spacing w:line="235" w:lineRule="auto" w:before="254" w:after="0"/>
        <w:ind w:left="22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citizen of Sri Lanka, outside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(l) Except as provided for in this Act, a person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62" w:lineRule="auto" w:before="288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receive, use, develop, produce, import, export, sell,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expose for sale, purchase, supply, transport, acquire,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possess, retain, stockpile or transfer  an anti-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personnel mine;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9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modify or convert an anti-personnel mine into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form of an explosive. 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8" w:after="22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acts in contravention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liable on conviction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armed forces or a police officer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Exceptions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in the course of his employment or duties, receive, use,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develop, produce, transport, acquire, possess, retain,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 an anti-personnel mine authorized under section 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developing, or training persons in,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techniques of mine detection, mine clearance, mine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deactivation, or mine destruction.</w:t>
      </w:r>
    </w:p>
    <w:p>
      <w:pPr>
        <w:autoSpaceDN w:val="0"/>
        <w:autoSpaceDE w:val="0"/>
        <w:widowControl/>
        <w:spacing w:line="262" w:lineRule="auto" w:before="274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section 11, a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armed forces or a police officer may, in the course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or duties, seize, receive, transfer, acquire or </w:t>
      </w:r>
      <w:r>
        <w:rPr>
          <w:rFonts w:ascii="Times" w:hAnsi="Times" w:eastAsia="Times"/>
          <w:b w:val="0"/>
          <w:i w:val="0"/>
          <w:color w:val="221F1F"/>
          <w:sz w:val="20"/>
        </w:rPr>
        <w:t>retain an anti-personnel mine for the purposes of deactivating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destroying such anti-personnel mine.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may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purposes of developing, or training persons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in, techniques of mine detection, mine clearance, mine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authorize an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deactivation, or mine destruction, the Minister may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to time, by notice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authorize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mine for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retention or transfer of a number of anti-personnel mines.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271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4" w:lineRule="auto" w:before="498" w:after="2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number of anti-personnel mines authorized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not exceed the minimum number </w:t>
      </w:r>
      <w:r>
        <w:rPr>
          <w:rFonts w:ascii="Times" w:hAnsi="Times" w:eastAsia="Times"/>
          <w:b w:val="0"/>
          <w:i w:val="0"/>
          <w:color w:val="221F1F"/>
          <w:sz w:val="20"/>
        </w:rPr>
        <w:t>absolutely necessary for the above-mentioned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armed forces or a police officer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receives, uses, develops, produces, transports, acquires,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possesses, retains, or transfers an anti-personnel mine shall-</w:t>
      </w:r>
    </w:p>
    <w:p>
      <w:pPr>
        <w:autoSpaceDN w:val="0"/>
        <w:autoSpaceDE w:val="0"/>
        <w:widowControl/>
        <w:spacing w:line="254" w:lineRule="auto" w:before="27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soon as practicable, send information on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to the Minister in such form and manner,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determined by the Minister;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4" w:lineRule="auto" w:before="276" w:after="0"/>
        <w:ind w:left="14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keep records in relation to such anti-personnel 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purpose to which such anti-personnel 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put;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4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prepare, from those records, periodic reports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anti-personnel mine in a form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Minister; and</w:t>
      </w:r>
    </w:p>
    <w:p>
      <w:pPr>
        <w:autoSpaceDN w:val="0"/>
        <w:autoSpaceDE w:val="0"/>
        <w:widowControl/>
        <w:spacing w:line="254" w:lineRule="auto" w:before="27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send those periodic reports to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at intervals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call for special reports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armed forces or police officer who has 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the Minister 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(1), in the prescribed circumstances.</w:t>
      </w:r>
    </w:p>
    <w:p>
      <w:pPr>
        <w:autoSpaceDN w:val="0"/>
        <w:autoSpaceDE w:val="0"/>
        <w:widowControl/>
        <w:spacing w:line="250" w:lineRule="auto" w:before="276" w:after="1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armed forces or a police officer who, </w:t>
      </w:r>
      <w:r>
        <w:rPr>
          <w:rFonts w:ascii="Times" w:hAnsi="Times" w:eastAsia="Times"/>
          <w:b w:val="0"/>
          <w:i w:val="0"/>
          <w:color w:val="221F1F"/>
          <w:sz w:val="20"/>
        </w:rPr>
        <w:t>without reasonable excuse, refuses or fails to comply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 (1) and (2) commits an offence.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misleading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armed forces or a police officer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knowingly, in the preparation of any document under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 makes a statement or omits any matter which misleads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particulars in the document commits an offence.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</w:t>
      </w:r>
    </w:p>
    <w:p>
      <w:pPr>
        <w:autoSpaceDN w:val="0"/>
        <w:autoSpaceDE w:val="0"/>
        <w:widowControl/>
        <w:spacing w:line="235" w:lineRule="auto" w:before="492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33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ESTRUCTION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-P</w:t>
      </w:r>
      <w:r>
        <w:rPr>
          <w:rFonts w:ascii="Times" w:hAnsi="Times" w:eastAsia="Times"/>
          <w:b w:val="0"/>
          <w:i w:val="0"/>
          <w:color w:val="221F1F"/>
          <w:sz w:val="14"/>
        </w:rPr>
        <w:t>RESONNEL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shall ensure the destruction of all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anti-personnel mines owned or possessed by the Government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mines owned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 the number of anti-personnel mines authorized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possessed</w:t>
            </w:r>
          </w:p>
        </w:tc>
      </w:tr>
      <w:tr>
        <w:trPr>
          <w:trHeight w:hRule="exact" w:val="1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shall make every effort to identify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cause the identification of  areas within the land owned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mines in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controlled by the State or government institution where anti-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land.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mines are known or suspected to be emplaced.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80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identification of areas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shall make best endeavours to mark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perimeter and, monitor and protect by fencing or other means </w:t>
      </w:r>
      <w:r>
        <w:rPr>
          <w:rFonts w:ascii="Times" w:hAnsi="Times" w:eastAsia="Times"/>
          <w:b w:val="0"/>
          <w:i w:val="0"/>
          <w:color w:val="221F1F"/>
          <w:sz w:val="20"/>
        </w:rPr>
        <w:t>to ensure the effective exclusion of public, until all the anti-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mines are destroyed.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 to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person finds an anti-personnel mine,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 inform a member of the armed forces or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 immediately.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referred to in subsection (1) shall take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steps to ensure that the anti-personnel mine will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exploded before a member of the armed forces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officer arrives at the relevant 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member of the armed forces or police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has reasonable grounds to suspect that an anti-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mine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personnel mine is on any private premises, such officer may–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private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with the consent of the person in charge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premises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premises, enter  and search such premises at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reasonable times;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such anti-personnel mine safe from being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 danger;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271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92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affix a warning to the anti-personnel mine or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conspicuous position to a thing or place near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anti-personnel mine;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5" w:lineRule="auto" w:before="254" w:after="0"/>
        <w:ind w:left="152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into custody any article or document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anti-personnel mine found or suspected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premises;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seize, remove and detain any anti-personnel mine,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it is reasonably practicable to do so;</w:t>
      </w:r>
    </w:p>
    <w:p>
      <w:pPr>
        <w:autoSpaceDN w:val="0"/>
        <w:autoSpaceDE w:val="0"/>
        <w:widowControl/>
        <w:spacing w:line="235" w:lineRule="auto" w:before="254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question any person occupying such premises; or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do any act or thing necessary or convenient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to carry out an investigation into the anti-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personnel mine found or suspected to be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premises.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duties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performed by the member of the armed forces or 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in accordance with such manner and procedures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member of the armed forces or police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reasonable grounds to suspect that an anti-personnel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mine is on any private premises, such member of armed forces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police officer shall as soon as practicable  inform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of such suspicious.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person in charge of any private premises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shall provide such assistance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such member of the armed forces or police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performance of his duties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(1). 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person in charge of any premises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refuses to allow the member of the armed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forces or a police officer to enter and search such premises,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 of the armed forces or the police officer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</w:t>
      </w:r>
    </w:p>
    <w:p>
      <w:pPr>
        <w:autoSpaceDN w:val="0"/>
        <w:autoSpaceDE w:val="0"/>
        <w:widowControl/>
        <w:spacing w:line="245" w:lineRule="auto" w:before="492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search the premises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warrant issued under section 13 in respect of that </w:t>
      </w:r>
      <w:r>
        <w:rPr>
          <w:rFonts w:ascii="Times" w:hAnsi="Times" w:eastAsia="Times"/>
          <w:b w:val="0"/>
          <w:i w:val="0"/>
          <w:color w:val="221F1F"/>
          <w:sz w:val="20"/>
        </w:rPr>
        <w:t>premises.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finds an anti-personnel mine and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inform such matter to a member of the armed forces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a police officer commits an offence.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resists or obstructs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armed forces or a police officer in the performance of duties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11 commits an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fails to act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warning given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11 commits an offence.</w:t>
      </w:r>
    </w:p>
    <w:p>
      <w:pPr>
        <w:autoSpaceDN w:val="0"/>
        <w:autoSpaceDE w:val="0"/>
        <w:widowControl/>
        <w:spacing w:line="235" w:lineRule="auto" w:before="254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54" w:after="184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Magistrate is satisfied by information 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oath that there is reason to suspect that–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54" w:after="0"/>
        <w:ind w:left="13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anti-personnel mine is received, used, developed,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produced, imported, exported, sold, exposed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sale, purchased, supplied, transported, acquired,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possessed, retained, stockpiled or transferred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in contravention of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Act; or 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article or document directly or indirectly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or connected with any transaction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 which is, or any intended transaction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 which, if carried out, would be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is in any premises, 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25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grant a search warrant authorizing any member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armed forces or police officer named in the warrant,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or times within one month from the date of the warrant,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8" w:lineRule="auto" w:before="0" w:after="0"/>
        <w:ind w:left="271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0" w:lineRule="auto" w:before="494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enter, with or without his assistants, if need be by force,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premises named in the warrant, and to search the premises </w:t>
      </w:r>
      <w:r>
        <w:rPr>
          <w:rFonts w:ascii="Times" w:hAnsi="Times" w:eastAsia="Times"/>
          <w:b w:val="0"/>
          <w:i w:val="0"/>
          <w:color w:val="221F1F"/>
          <w:sz w:val="20"/>
        </w:rPr>
        <w:t>and any person found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Court established by Article 154P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 Court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 for the Western Province holden in Colombo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try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notwithstanding anything in any other law,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exclusive jurisdiction to hear, try and punish the offences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who contravenes or fails to comply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any provision of this Act or any regulation made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thereunder, or any direction given under this Act commits </w:t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person who attempts to commit or abet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an offence under this Act commits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and shall be liable to the same punishment.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206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who commits an offence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no other punishment is expressly provided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 on conviction be liable 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five years or to both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 offence under this Act is committed by 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 then-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body of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the body of persons is a body corporate, every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at the time of commission of the offence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was a director, general manager, secretary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similar officer of that body; or</w:t>
      </w:r>
    </w:p>
    <w:p>
      <w:pPr>
        <w:autoSpaceDN w:val="0"/>
        <w:autoSpaceDE w:val="0"/>
        <w:widowControl/>
        <w:spacing w:line="247" w:lineRule="auto" w:before="198" w:after="0"/>
        <w:ind w:left="251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that body of persons is not a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every person who at the time of commission of the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18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was a member of that body,</w:t>
      </w:r>
    </w:p>
    <w:p>
      <w:pPr>
        <w:autoSpaceDN w:val="0"/>
        <w:autoSpaceDE w:val="0"/>
        <w:widowControl/>
        <w:spacing w:line="238" w:lineRule="auto" w:before="16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Forfeiture</w:t>
            </w:r>
          </w:p>
        </w:tc>
      </w:tr>
      <w:tr>
        <w:trPr>
          <w:trHeight w:hRule="exact" w:val="5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Court which convicts any person of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may impose any of the penalties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hereinbefore specified and may, if it thinks fit, order that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articles in respect of which the offence was committed,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thing used for the conveyance of such articles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liable to be forfeited to the State.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order for forfeiture imposed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shall take effect-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no appeal is preferred to the Court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order of forfeiture, on the expiration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within which an appeal may be preferred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Court of Appeal against such order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forfeiture;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appeal had been preferred to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of forfeiture, and no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is preferred to the Supreme Court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of the Court of Appeal affirming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upholding such order of forfeiture, on the expiration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within which an appeal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preferred to the Supreme Court from such order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Court of Appeal; or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appeal had been preferred,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of forfeiture, and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has been preferred to the Supreme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determination of the Court of Appeal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mentioned appeal, upon the determination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Supreme Court affirming or upholding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of forfeiture.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Chapter XXXVIII of Part IX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 15 of 1979 shall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disposal of  any article forfeited to the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matters for which regulations are authorized or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to be made or to be prescribed by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5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by subsection (1), the Minister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 for all or any of the following purposes-</w:t>
      </w:r>
    </w:p>
    <w:p>
      <w:pPr>
        <w:autoSpaceDN w:val="0"/>
        <w:autoSpaceDE w:val="0"/>
        <w:widowControl/>
        <w:spacing w:line="259" w:lineRule="auto" w:before="294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procedures to be complied with in relation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and searching premises suspected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containing an anti-personnel mine;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292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procedures of detention, seizing,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 and destruction of an anti-personnel 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document;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66" w:lineRule="auto" w:before="29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procedures to be followed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custody of any article or document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anti-personnel mine;</w:t>
      </w:r>
    </w:p>
    <w:p>
      <w:pPr>
        <w:autoSpaceDN w:val="0"/>
        <w:autoSpaceDE w:val="0"/>
        <w:widowControl/>
        <w:spacing w:line="238" w:lineRule="auto" w:before="276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forms and content of records;</w:t>
      </w:r>
    </w:p>
    <w:p>
      <w:pPr>
        <w:autoSpaceDN w:val="0"/>
        <w:autoSpaceDE w:val="0"/>
        <w:widowControl/>
        <w:spacing w:line="238" w:lineRule="auto" w:before="290" w:after="0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 period for which such records are to be kept;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2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form and content of periodic reports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294" w:after="0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circumstances in which special reports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and the form and content of such 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reports;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time within which such periodic reports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 reports are to be made; and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7" w:lineRule="auto" w:before="290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persons who are to sign such periodic reports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special reports.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</w:t>
      </w:r>
    </w:p>
    <w:p>
      <w:pPr>
        <w:autoSpaceDN w:val="0"/>
        <w:autoSpaceDE w:val="0"/>
        <w:widowControl/>
        <w:spacing w:line="252" w:lineRule="auto" w:before="4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tabs>
          <w:tab w:pos="1448" w:val="left"/>
          <w:tab w:pos="1702" w:val="left"/>
          <w:tab w:pos="1942" w:val="left"/>
        </w:tabs>
        <w:autoSpaceDE w:val="0"/>
        <w:widowControl/>
        <w:spacing w:line="262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Minister, shall within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brought before Parliament for approval. Any regulation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approved, shall be deemed to be rescinded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disapproval, but without prejudice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previously done thereunder.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48" w:after="20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Notification of the date of disapproval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Mutual Assistance in Criminal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Act, No. 25 of 2002 shall apply in respect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Country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assistance to any country or intergovernmental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as declared under that Act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 and prosecution of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unless the context otherwise requires-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422" w:val="left"/>
          <w:tab w:pos="2782" w:val="left"/>
        </w:tabs>
        <w:autoSpaceDE w:val="0"/>
        <w:widowControl/>
        <w:spacing w:line="254" w:lineRule="auto" w:before="2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“anti-personnel mine” means a mine designed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exploded by the presence, proximity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contact of a person and that will incapacitate,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injure or kill one or more persons. 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designed to be detonated by the presence,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proximity or contact of a vehicle as opposed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person, that are equipped with anti-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handling devices, are not considered anti-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personnel mines as a result of being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equipped;</w:t>
      </w:r>
    </w:p>
    <w:p>
      <w:pPr>
        <w:autoSpaceDN w:val="0"/>
        <w:tabs>
          <w:tab w:pos="2422" w:val="left"/>
          <w:tab w:pos="278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“armed forces” mean Army, Navy and Air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raised and maintained under Army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357), Navy Act (Chapter 358) and Air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Force Act (Chapter 359) respectively;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8" w:lineRule="auto" w:before="0" w:after="0"/>
        <w:ind w:left="271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82" w:after="2"/>
        <w:ind w:left="287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“convention” means the Convention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Prohibition of the Use, Stockpiling,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Transfer of Anti-Personnel Mines and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Destruction concluded by the Diplomatic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Conference on an International Total Ban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Anti-Personnel Land Mines at Oslo on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September 18, 1997;</w:t>
      </w:r>
    </w:p>
    <w:p>
      <w:pPr>
        <w:autoSpaceDN w:val="0"/>
        <w:autoSpaceDE w:val="0"/>
        <w:widowControl/>
        <w:spacing w:line="245" w:lineRule="auto" w:before="230" w:after="0"/>
        <w:ind w:left="2878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“government institution” includes any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department,  public corporation,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local  authority, business or other undertaking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 of Conversion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Owned Business Undertakings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Public Corporations Act, No. 22 of 1987,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company registered or deemed to be registered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Companies Act, No. 7 of 2007,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Government, a public corporation,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local authority holds more than fifty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and any  Ministry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 any Provincial Council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by or created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Provincial Council;</w:t>
      </w:r>
    </w:p>
    <w:p>
      <w:pPr>
        <w:autoSpaceDN w:val="0"/>
        <w:autoSpaceDE w:val="0"/>
        <w:widowControl/>
        <w:spacing w:line="245" w:lineRule="auto" w:before="230" w:after="0"/>
        <w:ind w:left="28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“mine” means ammunition designed to be placed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under, on or near the ground or other surface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area and to be exploded by the presence,</w:t>
      </w:r>
    </w:p>
    <w:p>
      <w:pPr>
        <w:autoSpaceDN w:val="0"/>
        <w:tabs>
          <w:tab w:pos="2876" w:val="left"/>
        </w:tabs>
        <w:autoSpaceDE w:val="0"/>
        <w:widowControl/>
        <w:spacing w:line="269" w:lineRule="auto" w:before="2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proximity or contact of a person or a vehicle;</w:t>
      </w:r>
    </w:p>
    <w:p>
      <w:pPr>
        <w:autoSpaceDN w:val="0"/>
        <w:autoSpaceDE w:val="0"/>
        <w:widowControl/>
        <w:spacing w:line="245" w:lineRule="auto" w:before="198" w:after="0"/>
        <w:ind w:left="28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this Act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under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45" w:lineRule="auto" w:before="23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“police officer” shall have same meaning as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Ordinance (Chapter 53);</w:t>
      </w:r>
    </w:p>
    <w:p>
      <w:pPr>
        <w:autoSpaceDN w:val="0"/>
        <w:autoSpaceDE w:val="0"/>
        <w:widowControl/>
        <w:spacing w:line="245" w:lineRule="auto" w:before="224" w:after="2"/>
        <w:ind w:left="287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means any corporation,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body which was or is established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any written law other than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Ordinance, with funds or capital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wholly or partly provided by the Government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way of grant, loan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12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Prohibition of Anti-Personnel Mines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49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“secretary” means the Secretary to the Ministry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Minister; and </w:t>
      </w:r>
    </w:p>
    <w:p>
      <w:pPr>
        <w:autoSpaceDN w:val="0"/>
        <w:autoSpaceDE w:val="0"/>
        <w:widowControl/>
        <w:spacing w:line="245" w:lineRule="auto" w:before="254" w:after="6"/>
        <w:ind w:left="278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“transfer” involves, in addition to the physical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movement of an anti-personnel mine into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national territory, the transfer of title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control over the mine, but does not involve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of territory containing emplaced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anti-personnel 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4510"/>
        <w:gridCol w:w="4510"/>
      </w:tblGrid>
      <w:tr>
        <w:trPr>
          <w:trHeight w:hRule="exact" w:val="9336"/>
        </w:trPr>
        <w:tc>
          <w:tcPr>
            <w:tcW w:type="dxa" w:w="46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Prohibition of Anti-Personnel Mines</w:t>
            </w:r>
          </w:p>
        </w:tc>
        <w:tc>
          <w:tcPr>
            <w:tcW w:type="dxa" w:w="16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