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24,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27.09.2021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4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SAMADHI HEALTH SERVICE, ENVIRONMENT,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AGRICULTURAL, CULTURAL AND SPORT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96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1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52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Samadhi Health Service, Environment, Agricultural, </w:t>
      </w:r>
      <w:r>
        <w:rPr>
          <w:rFonts w:ascii="Times,Bold" w:hAnsi="Times,Bold" w:eastAsia="Times,Bold"/>
          <w:b/>
          <w:i w:val="0"/>
          <w:color w:val="000000"/>
          <w:sz w:val="20"/>
        </w:rPr>
        <w:t>Cultural and Sport Centre</w:t>
      </w:r>
    </w:p>
    <w:p>
      <w:pPr>
        <w:autoSpaceDN w:val="0"/>
        <w:autoSpaceDE w:val="0"/>
        <w:widowControl/>
        <w:spacing w:line="245" w:lineRule="auto" w:before="140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35" w:lineRule="auto" w:before="1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Health Service, Environment,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48" w:after="182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NVIRONMENT</w:t>
      </w:r>
      <w:r>
        <w:rPr>
          <w:rFonts w:ascii="Times" w:hAnsi="Times" w:eastAsia="Times"/>
          <w:b w:val="0"/>
          <w:i w:val="0"/>
          <w:color w:val="221F1F"/>
          <w:sz w:val="20"/>
        </w:rPr>
        <w:t>, A</w:t>
      </w:r>
      <w:r>
        <w:rPr>
          <w:rFonts w:ascii="Times" w:hAnsi="Times" w:eastAsia="Times"/>
          <w:b w:val="0"/>
          <w:i w:val="0"/>
          <w:color w:val="221F1F"/>
          <w:sz w:val="14"/>
        </w:rPr>
        <w:t>GRICULTURAL</w:t>
      </w:r>
      <w:r>
        <w:rPr>
          <w:rFonts w:ascii="Times" w:hAnsi="Times" w:eastAsia="Times"/>
          <w:b w:val="0"/>
          <w:i w:val="0"/>
          <w:color w:val="221F1F"/>
          <w:sz w:val="20"/>
        </w:rPr>
        <w:t>,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Centre called and known as the “Samadhi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Service, Environment, Agricultural, Cultural and Sport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Centre” has heretofore been formed  in Sri Lanka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effectually carrying out its objects and transacting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matters connected  with the said Centre according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8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 :</w:t>
      </w:r>
    </w:p>
    <w:p>
      <w:pPr>
        <w:autoSpaceDN w:val="0"/>
        <w:autoSpaceDE w:val="0"/>
        <w:widowControl/>
        <w:spacing w:line="245" w:lineRule="auto" w:before="242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Samadhi Health Service,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Environment, Agricultural, Cultural and Sport Centre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Samadhi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Samadhi Health Service, Environment, Agricultural, Cultural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Health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Sport Centre (hereinafter referred to as the “Centre”)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Environment,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constituted, shall be a body corporate with perpetual succession,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Agricultural,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name and style of  the “Samadhi Health Service,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Cultural and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Environment, Agricultural, Cultural and Sport Centre”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Sport Centre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4" w:after="18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 “body corporate”) and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with full power and 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 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52" w:val="left"/>
          <w:tab w:pos="2396" w:val="left"/>
        </w:tabs>
        <w:autoSpaceDE w:val="0"/>
        <w:widowControl/>
        <w:spacing w:line="245" w:lineRule="auto" w:before="4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students who prepare for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conducting lectures, seminars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study tours;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66" w:lineRule="auto" w:before="2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academic lectures, seminars,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guidance, connected necessary exhibitions,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educational programme to improve the </w:t>
      </w:r>
      <w:r>
        <w:rPr>
          <w:rFonts w:ascii="Times" w:hAnsi="Times" w:eastAsia="Times"/>
          <w:b w:val="0"/>
          <w:i w:val="0"/>
          <w:color w:val="221F1F"/>
          <w:sz w:val="20"/>
        </w:rPr>
        <w:t>intelligence of the general public and to establish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4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libraries, preserve environment and to act in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priority to the balance development;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training programs of all types in the field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mass communication (television, radio, internet,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newspapers and publications) and maintain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units;</w:t>
      </w:r>
    </w:p>
    <w:p>
      <w:pPr>
        <w:autoSpaceDN w:val="0"/>
        <w:autoSpaceDE w:val="0"/>
        <w:widowControl/>
        <w:spacing w:line="266" w:lineRule="auto" w:before="292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needy students by providing them with books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equipment and school uniforms and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 to students who ate in the secondary </w:t>
      </w:r>
      <w:r>
        <w:rPr>
          <w:rFonts w:ascii="Times" w:hAnsi="Times" w:eastAsia="Times"/>
          <w:b w:val="0"/>
          <w:i w:val="0"/>
          <w:color w:val="221F1F"/>
          <w:sz w:val="20"/>
        </w:rPr>
        <w:t>and tertiary stage of their education;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6" w:lineRule="auto" w:before="30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inherent talents of students and youth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rural, district and provincial levels in areas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sports, literature and art and to encourage them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excel in them by providing the required infrastructure;</w:t>
      </w:r>
    </w:p>
    <w:p>
      <w:pPr>
        <w:autoSpaceDN w:val="0"/>
        <w:autoSpaceDE w:val="0"/>
        <w:widowControl/>
        <w:spacing w:line="235" w:lineRule="auto" w:before="306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projects suitable for young school leavers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assist them by carrying out such projects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training such youth to meet the competitive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demands for future employment;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0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assist those in need of financial and other forms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to enhance their inborn talents and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enabling them to engage in self-employment;</w:t>
      </w:r>
    </w:p>
    <w:p>
      <w:pPr>
        <w:autoSpaceDN w:val="0"/>
        <w:autoSpaceDE w:val="0"/>
        <w:widowControl/>
        <w:spacing w:line="266" w:lineRule="auto" w:before="28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to extend all forms of assistance to the differently-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abled in developing their personality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all types of support programs relevant to </w:t>
      </w:r>
      <w:r>
        <w:rPr>
          <w:rFonts w:ascii="Times" w:hAnsi="Times" w:eastAsia="Times"/>
          <w:b w:val="0"/>
          <w:i w:val="0"/>
          <w:color w:val="221F1F"/>
          <w:sz w:val="20"/>
        </w:rPr>
        <w:t>preschool/early childhood education;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52" w:lineRule="auto" w:before="262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health requirements of the people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rural and remote areas and to conduct medical camps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clinics in such areas and to supply medicines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needy through such camps and clinics;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2" w:lineRule="auto" w:before="26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awareness programmes for youth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a tobacco, alcohol and a drug free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build a healthy, disciplined, patriotic and human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operate centers in all the divisional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divisions across the Island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centers that are operating in Matara, Malimbada,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Ja-Ela and Meda Dumbara;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4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the farmers, fishermen and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young farmers and fishermen’s organizations;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57" w:lineRule="auto" w:before="24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utilize the labour of youth and adults for the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general public and during emergencies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disasters;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foster and promote mutual understanding, a spirit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national consciousness, goodwill and friendship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citizens of Sri Lanka and to promote peace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harmony among the Sinhala, Tamil, Muslim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Burgher communities in Sri Lanka;</w:t>
      </w:r>
    </w:p>
    <w:p>
      <w:pPr>
        <w:autoSpaceDN w:val="0"/>
        <w:autoSpaceDE w:val="0"/>
        <w:widowControl/>
        <w:spacing w:line="235" w:lineRule="auto" w:before="266" w:after="1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religious harmony, mutual understanding,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peaceful co-existence, spiritual development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friendship among the people of Sri Lanka through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religious, cultural, social and economic interactions;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2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to discuss the problems faced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youth in different areas in Sri Lanka due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lack of infrastructure facilities such as electricity,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water, housing and roads and provide amnesties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needy people;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62" w:after="162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mobilize people to deploy them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activities in order to find solutions to </w:t>
      </w:r>
      <w:r>
        <w:rPr>
          <w:rFonts w:ascii="Times" w:hAnsi="Times" w:eastAsia="Times"/>
          <w:b w:val="0"/>
          <w:i w:val="0"/>
          <w:color w:val="221F1F"/>
          <w:sz w:val="20"/>
        </w:rPr>
        <w:t>shortcomings in infrastructure;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6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1256" w:hanging="31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facilitate the exchange of delegations with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organizations having similar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view to building friendship and understanding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Sri Lanka and other countries;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542" w:right="1256" w:hanging="31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assemble and mobilize all groups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Academy with a view to promoting national harmony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peace within Sri Lanka;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54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organize, maintain and develop the pre-training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educational programme for those children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youths who are of poor and lack of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facilities and to contribute the energy of youths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welfare;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5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pave the way to obtain pre-vocational training,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sports training and training on leadership, computer, </w:t>
      </w:r>
      <w:r>
        <w:rPr>
          <w:rFonts w:ascii="Times" w:hAnsi="Times" w:eastAsia="Times"/>
          <w:b w:val="0"/>
          <w:i w:val="0"/>
          <w:color w:val="221F1F"/>
          <w:sz w:val="20"/>
        </w:rPr>
        <w:t>media, Tamil, English and any other languages;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do all such other acts, matters and things as are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or conductive to the attainment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body corporate and any work being carried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19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a Board of Management (hereinafter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Board”) consisting of such number of office bearers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by the rules 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until the first Board is appointed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38" w:lineRule="auto" w:before="24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power—</w:t>
      </w:r>
    </w:p>
    <w:p>
      <w:pPr>
        <w:autoSpaceDN w:val="0"/>
        <w:autoSpaceDE w:val="0"/>
        <w:widowControl/>
        <w:spacing w:line="245" w:lineRule="auto" w:before="164" w:after="0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buildings which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57" w:lineRule="auto" w:before="260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7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5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autoSpaceDE w:val="0"/>
        <w:widowControl/>
        <w:spacing w:line="254" w:lineRule="auto" w:before="2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determine;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50" w:lineRule="auto" w:before="276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proper and effective carrying out the objects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196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 thirds of the members present and voting,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 of the various officers, agents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7" w:lineRule="auto" w:before="26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>amended, altered, added to or rescinded at a like meeting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0" w:lineRule="auto" w:before="26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shall at all time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50" w:lineRule="auto" w:before="276" w:after="19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Government 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0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0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7" w:lineRule="auto" w:before="266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44" w:after="17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</w:tbl>
    <w:p>
      <w:pPr>
        <w:autoSpaceDN w:val="0"/>
        <w:tabs>
          <w:tab w:pos="2878" w:val="left"/>
          <w:tab w:pos="2886" w:val="left"/>
        </w:tabs>
        <w:autoSpaceDE w:val="0"/>
        <w:widowControl/>
        <w:spacing w:line="245" w:lineRule="auto" w:before="2" w:after="17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togother with the audited statement of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Ministry of the Minister assigned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Supervision) Act, No. 31 of 1980 before the expiration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months of the year succeeding the year to which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telates.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Centre existing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payable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debts due to, and subscriptions and contributions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Centre on that day shall be paid to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66" w:lineRule="auto" w:before="270" w:after="24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 made under section 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>indirectly by way of dividend, bonus or profit to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64" w:lineRule="auto" w:before="298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some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autoSpaceDE w:val="0"/>
        <w:widowControl/>
        <w:spacing w:line="264" w:lineRule="auto" w:before="3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2" w:val="left"/>
        </w:tabs>
        <w:autoSpaceDE w:val="0"/>
        <w:widowControl/>
        <w:spacing w:line="235" w:lineRule="auto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14" w:after="194"/>
        <w:ind w:left="18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Health Service, Environment,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38" w:lineRule="auto" w:before="86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