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1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October 01,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04.10.2021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84" w:after="0"/>
        <w:ind w:left="2160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SAHANA COMMUNITY DEVELOPMENT </w:t>
      </w:r>
      <w:r>
        <w:rPr>
          <w:rFonts w:ascii="Times,Bold" w:hAnsi="Times,Bold" w:eastAsia="Times,Bold"/>
          <w:b/>
          <w:i w:val="0"/>
          <w:color w:val="221F1F"/>
          <w:sz w:val="24"/>
        </w:rPr>
        <w:t>FOUNDATION (INCORPORATION)</w:t>
      </w:r>
    </w:p>
    <w:p>
      <w:pPr>
        <w:autoSpaceDN w:val="0"/>
        <w:autoSpaceDE w:val="0"/>
        <w:widowControl/>
        <w:spacing w:line="235" w:lineRule="auto" w:before="282" w:after="0"/>
        <w:ind w:left="0" w:right="35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Private Members’ Bill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5" w:lineRule="auto" w:before="254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29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Sahana Community Development Foundation</w:t>
      </w:r>
    </w:p>
    <w:p>
      <w:pPr>
        <w:autoSpaceDN w:val="0"/>
        <w:autoSpaceDE w:val="0"/>
        <w:widowControl/>
        <w:spacing w:line="245" w:lineRule="auto" w:before="314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 Hon. Buddhika Pathirana, 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Matara District</w:t>
      </w:r>
    </w:p>
    <w:p>
      <w:pPr>
        <w:autoSpaceDN w:val="0"/>
        <w:autoSpaceDE w:val="0"/>
        <w:widowControl/>
        <w:spacing w:line="245" w:lineRule="auto" w:before="21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54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37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3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Sahana Community Development Foundation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6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AHANA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OMMUNITY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tabs>
          <w:tab w:pos="1796" w:val="left"/>
          <w:tab w:pos="6718" w:val="left"/>
        </w:tabs>
        <w:autoSpaceDE w:val="0"/>
        <w:widowControl/>
        <w:spacing w:line="257" w:lineRule="auto" w:before="264" w:after="0"/>
        <w:ind w:left="145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Foundation called and known as the “Sahana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Community Development Foundation” has heretofore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formed in for the purpose of effectually carrying out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transacating the objects and matters connected 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 according to the rules agreed to by its members: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57" w:lineRule="auto" w:before="25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said application :</w:t>
      </w:r>
    </w:p>
    <w:p>
      <w:pPr>
        <w:autoSpaceDN w:val="0"/>
        <w:autoSpaceDE w:val="0"/>
        <w:widowControl/>
        <w:spacing w:line="247" w:lineRule="auto" w:before="250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Sahana Community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4" w:after="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Development Foundation (Incorporation) Act, No.     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2021.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Sahana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Sahana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Community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Community Development Foundation (hereinafter referred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“Corporation”)  or shall hereafter be  admitted 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hereby constituted, shall be a body corporate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1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“Corporation”) with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succession, under the name and style of  “Sahana Community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Foundation” and by that name may sue and be </w:t>
      </w:r>
      <w:r>
        <w:rPr>
          <w:rFonts w:ascii="Times" w:hAnsi="Times" w:eastAsia="Times"/>
          <w:b w:val="0"/>
          <w:i w:val="0"/>
          <w:color w:val="221F1F"/>
          <w:sz w:val="20"/>
        </w:rPr>
        <w:t>sued with full power and  authority to have and  use a common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seal and to alter the same at its pleasure.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2398" w:val="left"/>
        </w:tabs>
        <w:autoSpaceDE w:val="0"/>
        <w:widowControl/>
        <w:spacing w:line="247" w:lineRule="auto" w:before="58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workshops, discussions and seminars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matters of educational interest;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36" w:val="left"/>
          <w:tab w:pos="3466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Sahana Community Development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4" w:lineRule="auto" w:before="260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 provision to exhibit, improve and appreciate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cultural talents of school children and ward 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certificates to talented school children;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4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implement a special training programme to build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 a generation of children who appreciate values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good conduct on practical terms;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9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 conduct leadership camps and workshops to school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children to build up leadership qualities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necessary skills to equip them for practical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living;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62" w:lineRule="auto" w:before="26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a practical programmes which develop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patriotism in order to develop a generation of school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children with physical capability through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of sanitation, health habits and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programme for sports and physical education;</w:t>
      </w:r>
    </w:p>
    <w:p>
      <w:pPr>
        <w:autoSpaceDN w:val="0"/>
        <w:autoSpaceDE w:val="0"/>
        <w:widowControl/>
        <w:spacing w:line="254" w:lineRule="auto" w:before="264" w:after="0"/>
        <w:ind w:left="230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educational tours, shramadanas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workshops, aimed at protecting Sri Lanka’s heritate,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environment and forestry;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2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support and encourage the services provided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senior citizens movements ;</w:t>
      </w:r>
    </w:p>
    <w:p>
      <w:pPr>
        <w:autoSpaceDN w:val="0"/>
        <w:autoSpaceDE w:val="0"/>
        <w:widowControl/>
        <w:spacing w:line="254" w:lineRule="auto" w:before="272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give full support and assistance to informal,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 programmes, special education </w:t>
      </w:r>
      <w:r>
        <w:rPr>
          <w:rFonts w:ascii="Times" w:hAnsi="Times" w:eastAsia="Times"/>
          <w:b w:val="0"/>
          <w:i w:val="0"/>
          <w:color w:val="221F1F"/>
          <w:sz w:val="20"/>
        </w:rPr>
        <w:t>programmes and elders education pragrammes ;</w:t>
      </w:r>
    </w:p>
    <w:p>
      <w:pPr>
        <w:autoSpaceDN w:val="0"/>
        <w:autoSpaceDE w:val="0"/>
        <w:widowControl/>
        <w:spacing w:line="238" w:lineRule="auto" w:before="276" w:after="12"/>
        <w:ind w:left="20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>) to encourage farmers engaged in traditional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export oriented agricultural activities and to conduct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various activities to enable them to expand their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knowledge ;</w:t>
      </w:r>
    </w:p>
    <w:p>
      <w:pPr>
        <w:autoSpaceDN w:val="0"/>
        <w:autoSpaceDE w:val="0"/>
        <w:widowControl/>
        <w:spacing w:line="257" w:lineRule="auto" w:before="276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in various programmes implemented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granting necessary facilities for the ‘Ranaviru’ 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0"/>
        <w:ind w:left="233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Sahana Community Development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2" w:lineRule="auto" w:before="274" w:after="0"/>
        <w:ind w:left="239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take action to provide self employment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support and training to the unemployed </w:t>
      </w:r>
      <w:r>
        <w:rPr>
          <w:rFonts w:ascii="Times" w:hAnsi="Times" w:eastAsia="Times"/>
          <w:b w:val="0"/>
          <w:i w:val="0"/>
          <w:color w:val="221F1F"/>
          <w:sz w:val="20"/>
        </w:rPr>
        <w:t>youth community;</w:t>
      </w:r>
    </w:p>
    <w:p>
      <w:pPr>
        <w:autoSpaceDN w:val="0"/>
        <w:tabs>
          <w:tab w:pos="2096" w:val="left"/>
          <w:tab w:pos="2396" w:val="left"/>
        </w:tabs>
        <w:autoSpaceDE w:val="0"/>
        <w:widowControl/>
        <w:spacing w:line="257" w:lineRule="auto" w:before="29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liaise and co-ordinate with other local or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institutions which have similar objects;</w:t>
      </w:r>
    </w:p>
    <w:p>
      <w:pPr>
        <w:autoSpaceDN w:val="0"/>
        <w:tabs>
          <w:tab w:pos="2396" w:val="left"/>
        </w:tabs>
        <w:autoSpaceDE w:val="0"/>
        <w:widowControl/>
        <w:spacing w:line="257" w:lineRule="auto" w:before="288" w:after="0"/>
        <w:ind w:left="20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develop religious places belonging to all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religions;</w:t>
      </w:r>
    </w:p>
    <w:p>
      <w:pPr>
        <w:autoSpaceDN w:val="0"/>
        <w:tabs>
          <w:tab w:pos="2396" w:val="left"/>
        </w:tabs>
        <w:autoSpaceDE w:val="0"/>
        <w:widowControl/>
        <w:spacing w:line="257" w:lineRule="auto" w:before="290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in the activities of societies established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Grama Niladhari divisions; and</w:t>
      </w:r>
    </w:p>
    <w:p>
      <w:pPr>
        <w:autoSpaceDN w:val="0"/>
        <w:tabs>
          <w:tab w:pos="2052" w:val="left"/>
        </w:tabs>
        <w:autoSpaceDE w:val="0"/>
        <w:widowControl/>
        <w:spacing w:line="252" w:lineRule="auto" w:before="290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>) to assist and act for the welfare of the pensioners.</w:t>
      </w:r>
    </w:p>
    <w:p>
      <w:pPr>
        <w:autoSpaceDN w:val="0"/>
        <w:autoSpaceDE w:val="0"/>
        <w:widowControl/>
        <w:spacing w:line="262" w:lineRule="auto" w:before="280" w:after="1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objectives of this Act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specified in subsection (1), the Corporation shall ensure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such implementation is carried out without distinction </w:t>
      </w:r>
      <w:r>
        <w:rPr>
          <w:rFonts w:ascii="Times" w:hAnsi="Times" w:eastAsia="Times"/>
          <w:b w:val="0"/>
          <w:i w:val="0"/>
          <w:color w:val="221F1F"/>
          <w:sz w:val="20"/>
        </w:rPr>
        <w:t>based on race, caste, religion, language, sex or political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opinion.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shall, 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and the rules of the Corporation, made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6, be administered by a Board Directors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consisting of the Chairman, Secretary, Treasurer and five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elected in accordance with such rules.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2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Board of Directors of the Corporation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 of the members of the Board of Administration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holding office on the day immediately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>the date of his election.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member of the Board of Directors shall unless 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vacates his office earlier by death or resignation, hold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period of four years reckoned from the date of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36" w:val="left"/>
          <w:tab w:pos="3466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Sahana Community Development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0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any member of the Board of Directiors vacates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prior to the expiry of his term, his successor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rules of the Corporation shall hold office </w:t>
      </w:r>
      <w:r>
        <w:rPr>
          <w:rFonts w:ascii="Times" w:hAnsi="Times" w:eastAsia="Times"/>
          <w:b w:val="0"/>
          <w:i w:val="0"/>
          <w:color w:val="221F1F"/>
          <w:sz w:val="20"/>
        </w:rPr>
        <w:t>only for the unexpired term of office of the member who 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succeeds.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the Corporation shall have the power to do,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57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4" w:after="188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as are necessary or desirable for the furtherance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objects or any one of them, including the power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 and hold property movable or immovable, to open,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operate and close bank account, to borrow or raise moneys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or without security, to receive or collect grants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donations, to invest its funds to erect any building or structurs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any land held by the Corporation, and to engage, employ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dismiss, officers and servants required for the carrying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out of the 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at any general meeting of the members and by a majority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not less than two thirds of the members present and voting,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rules, not inconsistent with the provisions of this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9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any other written law, for all or any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matters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classification of membership, admission,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withdrawal, expulsion or resignation of members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0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membership fees payable  ;</w:t>
      </w:r>
    </w:p>
    <w:p>
      <w:pPr>
        <w:autoSpaceDN w:val="0"/>
        <w:tabs>
          <w:tab w:pos="2414" w:val="left"/>
          <w:tab w:pos="2422" w:val="left"/>
        </w:tabs>
        <w:autoSpaceDE w:val="0"/>
        <w:widowControl/>
        <w:spacing w:line="245" w:lineRule="auto" w:before="248" w:after="6"/>
        <w:ind w:left="20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observed for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 Corporation and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Board of Directors, the quorum the for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meetings and the exercise and performance of their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 and duties 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appointment, powers, duties and functions of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various officers, agents and servants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 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0"/>
        <w:ind w:left="233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Sahana Community Development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08" w:val="left"/>
          <w:tab w:pos="2518" w:val="left"/>
        </w:tabs>
        <w:autoSpaceDE w:val="0"/>
        <w:widowControl/>
        <w:spacing w:line="247" w:lineRule="auto" w:before="260" w:after="200"/>
        <w:ind w:left="21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qualifications  required to become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and of the Board of Directors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8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election of Board of Directors ;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Corporation.</w:t>
            </w:r>
          </w:p>
        </w:tc>
      </w:tr>
    </w:tbl>
    <w:p>
      <w:pPr>
        <w:autoSpaceDN w:val="0"/>
        <w:autoSpaceDE w:val="0"/>
        <w:widowControl/>
        <w:spacing w:line="247" w:lineRule="auto" w:before="16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rules made by the Corporation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 subsection (1).</w:t>
      </w:r>
    </w:p>
    <w:p>
      <w:pPr>
        <w:autoSpaceDN w:val="0"/>
        <w:autoSpaceDE w:val="0"/>
        <w:widowControl/>
        <w:spacing w:line="238" w:lineRule="auto" w:before="26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Every member of the Corporation shall be subject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of the Corporation made under this section.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 and discharged by the Corporation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  and subscriptions and contributions  payable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foundation on that day shall be paid to the Corporation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20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gift,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bequest, donation, subscription, contribution fees or grants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on account of the Corporation shall be deposited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credit of the Corporation in one or more banks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of Directors shall determine.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2" w:after="20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fund, all sums of money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 movable or immovable which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 purchase, grant, lease,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gift, testamentary disposition or otherwise, and all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36" w:val="left"/>
          <w:tab w:pos="3466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Sahana Community Development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4" w:after="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shall be held by the Corporation for the purposes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subject to the rules of the Corporation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6 and the Corporation shall have  full power </w:t>
      </w:r>
      <w:r>
        <w:rPr>
          <w:rFonts w:ascii="Times" w:hAnsi="Times" w:eastAsia="Times"/>
          <w:b w:val="0"/>
          <w:i w:val="0"/>
          <w:color w:val="221F1F"/>
          <w:sz w:val="20"/>
        </w:rPr>
        <w:t>to sell, mortgage, lease, exchange or otherwise dispose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4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same.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 of the Corporation shall, for the purpose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discharging the debts and liabilities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liable to any contribution exceeding the amount of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membership fees as may be due form him to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 its debts and liabilities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remaning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whatsoever, such property shall not be distributed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the members of the Corporation, but shall be given </w:t>
      </w:r>
      <w:r>
        <w:rPr>
          <w:rFonts w:ascii="Times" w:hAnsi="Times" w:eastAsia="Times"/>
          <w:b w:val="0"/>
          <w:i w:val="0"/>
          <w:color w:val="221F1F"/>
          <w:sz w:val="20"/>
        </w:rPr>
        <w:t>or transferred to some other institution or institutions having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objects similar to those of the Corporation and which is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 by  its or their rule prohibited from distributing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income or property among its  members such institution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institurions shall be determined by 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at or immediately before, the time of dissolution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of Directors of the Corporation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proper accounts to be kept of all moneys received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expended by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16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financial year of the Corporation shall be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calendar year.</w:t>
      </w:r>
    </w:p>
    <w:p>
      <w:pPr>
        <w:autoSpaceDN w:val="0"/>
        <w:autoSpaceDE w:val="0"/>
        <w:widowControl/>
        <w:spacing w:line="245" w:lineRule="auto" w:before="24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examined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audited at least once in every year by a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>or auditors appointed  by the Board of Directors.</w:t>
      </w:r>
    </w:p>
    <w:p>
      <w:pPr>
        <w:autoSpaceDN w:val="0"/>
        <w:autoSpaceDE w:val="0"/>
        <w:widowControl/>
        <w:spacing w:line="235" w:lineRule="auto" w:before="254" w:after="19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section, “qualified auditor” means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Chartered Accountants of Sri Lanka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of any other institute established by law,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0"/>
        <w:ind w:left="233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Sahana Community Development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11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partners of which, being a member of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Chartered Accountants of Sri Lanka</w:t>
            </w:r>
          </w:p>
        </w:tc>
      </w:tr>
    </w:tbl>
    <w:p>
      <w:pPr>
        <w:autoSpaceDN w:val="0"/>
        <w:autoSpaceDE w:val="0"/>
        <w:widowControl/>
        <w:spacing w:line="245" w:lineRule="auto" w:before="8" w:after="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Accountant, issued by the Council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and the  Secretary of the Corporation, who shall </w:t>
      </w:r>
      <w:r>
        <w:rPr>
          <w:rFonts w:ascii="Times" w:hAnsi="Times" w:eastAsia="Times"/>
          <w:b w:val="0"/>
          <w:i w:val="0"/>
          <w:color w:val="221F1F"/>
          <w:sz w:val="20"/>
        </w:rPr>
        <w:t>sign their names to the instrument in token of their presence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6" w:after="212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signing shall be independent of the signing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the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Sahana Community Development Foundation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964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