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64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28" w:after="0"/>
        <w:ind w:left="1584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KELANIYA BUDDHIST WOMEN’S CHARITABLE </w:t>
      </w:r>
      <w:r>
        <w:rPr>
          <w:rFonts w:ascii="Times,Bold" w:hAnsi="Times,Bold" w:eastAsia="Times,Bold"/>
          <w:b/>
          <w:i w:val="0"/>
          <w:color w:val="221F1F"/>
          <w:sz w:val="24"/>
        </w:rPr>
        <w:t>SOCIETY (INCORPORATION)</w:t>
      </w:r>
    </w:p>
    <w:p>
      <w:pPr>
        <w:autoSpaceDN w:val="0"/>
        <w:autoSpaceDE w:val="0"/>
        <w:widowControl/>
        <w:spacing w:line="238" w:lineRule="auto" w:before="448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90" w:after="0"/>
        <w:ind w:left="163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Kelaniya Buddhist Women’s Charitable Society</w:t>
      </w:r>
    </w:p>
    <w:p>
      <w:pPr>
        <w:autoSpaceDN w:val="0"/>
        <w:autoSpaceDE w:val="0"/>
        <w:widowControl/>
        <w:spacing w:line="235" w:lineRule="auto" w:before="22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62" w:after="0"/>
        <w:ind w:left="1872" w:right="201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(Ven.) Athuraliye Rathana Thero,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06th of October, 2021</w:t>
      </w:r>
    </w:p>
    <w:p>
      <w:pPr>
        <w:autoSpaceDN w:val="0"/>
        <w:autoSpaceDE w:val="0"/>
        <w:widowControl/>
        <w:spacing w:line="238" w:lineRule="auto" w:before="252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27, 2021)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0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3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74]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6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 00</w:t>
      </w:r>
    </w:p>
    <w:p>
      <w:pPr>
        <w:autoSpaceDN w:val="0"/>
        <w:tabs>
          <w:tab w:pos="6840" w:val="left"/>
        </w:tabs>
        <w:autoSpaceDE w:val="0"/>
        <w:widowControl/>
        <w:spacing w:line="240" w:lineRule="auto" w:before="164" w:after="0"/>
        <w:ind w:left="1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Kelaniya Buddhist Women's Charitable Society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9" w:lineRule="auto" w:before="282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4"/>
        </w:rPr>
        <w:t>ELANIYA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UDDHIST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OMEN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HARITABLE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OCIETY</w:t>
      </w:r>
    </w:p>
    <w:p>
      <w:pPr>
        <w:autoSpaceDN w:val="0"/>
        <w:tabs>
          <w:tab w:pos="6718" w:val="left"/>
        </w:tabs>
        <w:autoSpaceDE w:val="0"/>
        <w:widowControl/>
        <w:spacing w:line="269" w:lineRule="auto" w:before="308" w:after="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Society called and known as the “Kelaniya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Buddhist Women's Charitable Society” has heretofore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in Kribathgoda of Gampaha District in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effectually carrying out it's objects and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40" w:after="0"/>
        <w:ind w:left="15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transacting all matters connected with the said Society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 to the rules agreed to by its members for fifty six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years (56):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0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Society has heretofore successfully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it was formed and has applied to be incorporated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will be for the public advantage to grant the 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application:</w:t>
      </w:r>
    </w:p>
    <w:p>
      <w:pPr>
        <w:autoSpaceDN w:val="0"/>
        <w:autoSpaceDE w:val="0"/>
        <w:widowControl/>
        <w:spacing w:line="259" w:lineRule="auto" w:before="308" w:after="24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Kelaniya Buddhist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57" w:lineRule="auto" w:before="20" w:after="25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Women's Charitable Society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(Incorporation) Act, No.    of </w:t>
      </w:r>
      <w:r>
        <w:rPr>
          <w:rFonts w:ascii="Times" w:hAnsi="Times" w:eastAsia="Times"/>
          <w:b w:val="0"/>
          <w:i w:val="0"/>
          <w:color w:val="000000"/>
          <w:sz w:val="20"/>
        </w:rPr>
        <w:t>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Kelaniya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Kelaniya Buddhist Women's Charitable Society (hereinafter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Buddhist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“Society”) and shall hereafter be admitted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Women's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Charitable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members of the Corporation hereby constituted,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Society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body corporate, with perpetual succession under the name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style of the “Kelaniya Buddhist Women's Charitable</w:t>
      </w:r>
    </w:p>
    <w:p>
      <w:pPr>
        <w:autoSpaceDN w:val="0"/>
        <w:tabs>
          <w:tab w:pos="1798" w:val="left"/>
        </w:tabs>
        <w:autoSpaceDE w:val="0"/>
        <w:widowControl/>
        <w:spacing w:line="269" w:lineRule="auto" w:before="3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Society” (hereinafter referred to as “Corporation”) and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name may sue and be sued, with full power and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have, and use a common seal and  to alter the same at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  <w:tab w:pos="3468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942" w:val="left"/>
          <w:tab w:pos="6622" w:val="left"/>
        </w:tabs>
        <w:autoSpaceDE w:val="0"/>
        <w:widowControl/>
        <w:spacing w:line="254" w:lineRule="auto" w:before="266" w:after="0"/>
        <w:ind w:left="1702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general objects for which the Corporation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Objects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constituted are hereby declared to be—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Corporation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2" w:after="22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facilities necessary for the enhancing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meditation methods to the Buddhists;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collect the books and magazines of Buddhism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worldwide and make arrangements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access them easily by the Buddhists;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coordinate and improve proper relation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servants, intellectuals, donators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benevolent people and with some other similar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welfare societies and foundations in Sri Lanka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Corporation;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2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print, publish and distribute the books, hand bills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magazines which may be required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for the promotion and development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objects of the Corporation;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4" w:after="23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cordinate with other unions, societies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having similar objects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act in order to convince Buddhism for every one</w:t>
            </w:r>
          </w:p>
        </w:tc>
      </w:tr>
    </w:tbl>
    <w:p>
      <w:pPr>
        <w:autoSpaceDN w:val="0"/>
        <w:autoSpaceDE w:val="0"/>
        <w:widowControl/>
        <w:spacing w:line="254" w:lineRule="auto" w:before="8" w:after="23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take necessary actions to propagate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Buddhism all over the world.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Subject to the provisions of this Act,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the affairs of the Corporation shall be carried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by a Board of Management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“Board”) consisting the Chairman, Vice Chairman, Secretary,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Vice Secretaries, Treasurer, Vice Treasurer and two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Patrons and other sixteen (16) members who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in respect of the rules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24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4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Persons who were the members of executive committee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society at the date of coming into operation of this </w:t>
      </w:r>
      <w:r>
        <w:rPr>
          <w:rFonts w:ascii="Times" w:hAnsi="Times" w:eastAsia="Times"/>
          <w:b w:val="0"/>
          <w:i w:val="0"/>
          <w:color w:val="000000"/>
          <w:sz w:val="20"/>
        </w:rPr>
        <w:t>Act shall consist or the first executive committee:-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Committee shall meet once in every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Affairs of the Committee shall be performed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 to the objects of the Society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 of the Society.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bearers who do not attend three consecutive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meetings without informing the executive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shall be regarded as those who vacate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their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executive committee shall have the power to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appiont other members instead of the officers who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vacate their office from the executive committee.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emergency meeting of the exeutive committee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can be called with short notice in case of some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urgnet situation.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 of office of the executive committee shall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regarded as three (03) years.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(i)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chief patron of the Corporation shall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Most Venerable Makola Mangala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Thero, the Chief Incumbent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Kiribathgoda Sri Sudharshanaramaya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also a Senior Lecturer of University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Ruhuna;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230" w:after="0"/>
        <w:ind w:left="2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Subsequent to the departure of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resignation of said Venerable Makola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Mangala Thero, the executive committee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appoint some suitable Buddhist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Monk as the Chief Patron of the Society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approval of the President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Society.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  <w:tab w:pos="3468" w:val="left"/>
        </w:tabs>
        <w:autoSpaceDE w:val="0"/>
        <w:widowControl/>
        <w:spacing w:line="245" w:lineRule="auto" w:before="0" w:after="196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Mrs. P. G. S. Perera, retired Principal (Principal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-Grade 1 Sinhala Trainee BA, holder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of Diploma in Education)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Mrs. Harshani Nawarathna, who is a holder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Diploma in Dhild Development and 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 Sethmaga Singithi Sevana who are holding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offices of lay patrons of the Society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lay Patrons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3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Subsequent to the death or resignation of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said lay Patrons, the lay Patrons having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qualifications shall be appointed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executive committee consisting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 of the Society for their vacant offices:-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2" w:val="left"/>
              </w:tabs>
              <w:autoSpaceDE w:val="0"/>
              <w:widowControl/>
              <w:spacing w:line="247" w:lineRule="auto" w:before="60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Members having long term membership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Society.</w:t>
            </w:r>
          </w:p>
        </w:tc>
      </w:tr>
    </w:tbl>
    <w:p>
      <w:pPr>
        <w:autoSpaceDN w:val="0"/>
        <w:tabs>
          <w:tab w:pos="3342" w:val="left"/>
        </w:tabs>
        <w:autoSpaceDE w:val="0"/>
        <w:widowControl/>
        <w:spacing w:line="247" w:lineRule="auto" w:before="206" w:after="0"/>
        <w:ind w:left="29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Those who have enough experiences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Society and religion.</w:t>
      </w:r>
    </w:p>
    <w:p>
      <w:pPr>
        <w:autoSpaceDN w:val="0"/>
        <w:tabs>
          <w:tab w:pos="3342" w:val="left"/>
        </w:tabs>
        <w:autoSpaceDE w:val="0"/>
        <w:widowControl/>
        <w:spacing w:line="247" w:lineRule="auto" w:before="264" w:after="0"/>
        <w:ind w:left="29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Those who are educated, intelligent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recognized by the Society.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6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(1) Board of Trustees:-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first executive meeting holding subsequent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 general meeting, a committee of  office bearers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consisting of the  Chairman, Vice Chairman, Secretary,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 Vice Secretaries, Treasurer, Vice Treasurer, Two Patrons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 executive member including the housing manager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appointed:-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47" w:lineRule="auto" w:before="264" w:after="206"/>
        <w:ind w:left="1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Trustees shall act according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instructions of the executive committee;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Trustees shall hold the said duty within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period of three (03) years;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24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0"/>
        <w:ind w:left="208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this Board shall be active members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Society for more than three (03) years;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0" w:after="4"/>
        <w:ind w:left="20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Society shall have the power to transfer,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mortgage, sell, develop, lease, signing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contracts of exchange and buy, construct buildings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do all necessary actions for such purposes,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rights, titles or legal rights of immovable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movable properties where necessary.</w:t>
      </w:r>
    </w:p>
    <w:p>
      <w:pPr>
        <w:autoSpaceDN w:val="0"/>
        <w:autoSpaceDE w:val="0"/>
        <w:widowControl/>
        <w:spacing w:line="235" w:lineRule="auto" w:before="242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Housing Committee :-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47" w:lineRule="auto" w:before="230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Six (06) members including the housing manager can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 to this committee-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0" w:after="164"/>
        <w:ind w:left="20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Chairperson of the housing committee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executive committee member and other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hold the membership of 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housing committee shall perform the prescribed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duty until the next annual meeting;</w:t>
      </w:r>
    </w:p>
    <w:p>
      <w:pPr>
        <w:autoSpaceDN w:val="0"/>
        <w:tabs>
          <w:tab w:pos="2088" w:val="left"/>
          <w:tab w:pos="2516" w:val="left"/>
          <w:tab w:pos="2518" w:val="left"/>
        </w:tabs>
        <w:autoSpaceDE w:val="0"/>
        <w:widowControl/>
        <w:spacing w:line="245" w:lineRule="auto" w:before="242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procedure fo educaion,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health, care and other needs of the daughters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Senehasa Child Development Center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307/16, Jayamawatha, Webada, Kirillawala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submitted to the monthly committee;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2" w:after="170"/>
        <w:ind w:left="20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membership will be cancelled in the event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of four (04) consecutive meetings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executive committee shall have the power to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26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appoint housing committee as may be required.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cause to maintain a Register of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3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including the names of persons who became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Soiciety on the immediately perceding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operation of this Act and those who are duly enrolled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  <w:tab w:pos="3468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1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Register shall consist of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information:-</w:t>
      </w:r>
    </w:p>
    <w:p>
      <w:pPr>
        <w:autoSpaceDN w:val="0"/>
        <w:autoSpaceDE w:val="0"/>
        <w:widowControl/>
        <w:spacing w:line="245" w:lineRule="auto" w:before="254" w:after="142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Name of the member, address, occupation, date noted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Register, date of ceasing the membership.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1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 are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Classification</w:t>
            </w:r>
          </w:p>
        </w:tc>
      </w:tr>
      <w:tr>
        <w:trPr>
          <w:trHeight w:hRule="exact" w:val="1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5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members:- Entry fee and the monthly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 fee shall be paid (can be paid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monthly or annually). Society Maintenance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fee and the welfare fee shall be paid on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 made at the general meeting.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Life members:- Entry fees and the life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 fees shall be paid at once. Society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fees and the welfare fees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paid on a decision made at the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Meeting.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Honorary members:- Entry fees or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 fees will not charged. Any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who has done a great service to the Buddha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Sasana and is qualified to be a member if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Society, is entitlied for the  honorary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 upon a resolution passed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votes of two third (2/3) of members.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honorary members shall not be more than five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(05) members. The persons who are granted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honorary membership, are entitled for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186"/>
        <w:ind w:left="0" w:right="45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membership rights.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Disqualifications to be a member of the executive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Disqualifications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are as follows:-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a</w:t>
            </w:r>
          </w:p>
        </w:tc>
      </w:tr>
      <w:tr>
        <w:trPr>
          <w:trHeight w:hRule="exact" w:val="170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being a member of Kelaniya Buddhist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 of</w:t>
            </w:r>
          </w:p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executive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Women's Society;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being a Buddhist;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24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998" w:val="left"/>
        </w:tabs>
        <w:autoSpaceDE w:val="0"/>
        <w:widowControl/>
        <w:spacing w:line="238" w:lineRule="auto" w:before="248" w:after="0"/>
        <w:ind w:left="25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 an unsound minded person; and</w:t>
      </w:r>
    </w:p>
    <w:p>
      <w:pPr>
        <w:autoSpaceDN w:val="0"/>
        <w:tabs>
          <w:tab w:pos="2998" w:val="left"/>
          <w:tab w:pos="3000" w:val="left"/>
        </w:tabs>
        <w:autoSpaceDE w:val="0"/>
        <w:widowControl/>
        <w:spacing w:line="245" w:lineRule="auto" w:before="240" w:after="166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 person who has been convicted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of moral turpitude by a competent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 or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in order to accomplish the objects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Corporation, the Corporation shall have the power to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open, mainain and close bank accounts related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 and accept the contributions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Corporation, grants, donations or all kinds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aid and donations;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open and maintain bank accounts on behalf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“Senehasa Child Development Center”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(Senehasa Dari Sewana) at No. 307/16,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Jaya Mawatha, Webada, Kirillawala.</w:t>
      </w:r>
    </w:p>
    <w:p>
      <w:pPr>
        <w:autoSpaceDN w:val="0"/>
        <w:tabs>
          <w:tab w:pos="2758" w:val="left"/>
        </w:tabs>
        <w:autoSpaceDE w:val="0"/>
        <w:widowControl/>
        <w:spacing w:line="245" w:lineRule="auto" w:before="240" w:after="156"/>
        <w:ind w:left="23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or accept donations, all kinds of aids,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gifts on behalf of “(Senehasa Dari Sewana)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307/16, Jaya Mawatha, Webada, Kirillawala.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 into agreements or contracts with any person,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company or body corporate;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2" w:after="182"/>
        <w:ind w:left="20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purchase, acquire, rent, construct or otherwise obtain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or buildings which may be required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purposes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appoint, employ and dismiss necessary officers and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servants; and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 employee salary, allowance and gratuity as may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datermined by the Corporation and to train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workforce in Sri Lanka for the purposes of the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  <w:tab w:pos="3468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23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have the power to do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acts or things which are necessary or appropriate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promote and enhance and to the attainment of all or any of </w:t>
      </w:r>
      <w:r>
        <w:rPr>
          <w:rFonts w:ascii="Times" w:hAnsi="Times" w:eastAsia="Times"/>
          <w:b w:val="0"/>
          <w:i w:val="0"/>
          <w:color w:val="221F1F"/>
          <w:sz w:val="20"/>
        </w:rPr>
        <w:t>its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Corporation and by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two-thirds of the 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>and voting, to make rules, not inconsistent with the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this Act, or any other written law, for all or any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matters:-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classification of membership, fees payable by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304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each category, admission,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withdrawal, expulsion or resignation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of the officers for the executive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from the Members of the Corporation;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functions, duties and liabilities of executive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and other various officers, agents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servants;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followed at the meetings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Corporation and menagement of the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affairs of the Coporation.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said rules may be added to, amended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28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in the same manner as stated in sub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(01).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the members of the Corporation shall be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31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liable to 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5" w:lineRule="auto" w:before="38" w:after="2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All moneys received by way of gifts, donations,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subscriptions, contributions or fees for and on account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deposited in one or more banks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approved by the Board to the credit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24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18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Society existing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immediately preceding the date of commencement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Corporation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 Society</w:t>
            </w:r>
          </w:p>
        </w:tc>
      </w:tr>
    </w:tbl>
    <w:p>
      <w:pPr>
        <w:autoSpaceDN w:val="0"/>
        <w:autoSpaceDE w:val="0"/>
        <w:widowControl/>
        <w:spacing w:line="250" w:lineRule="auto" w:before="8" w:after="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>contributions payable to the Society existing on that 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to the Corporation for the purposes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financial year of the Corporation shall be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(i)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cause proper accounts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kept of its income and expenditure, assets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liabilities and all other transactions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final accounts of the Corporation shall be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audited annually by a qualified auditor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said report shall be submitted at the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of the Society.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section, “qualified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auditor” means—</w:t>
      </w:r>
    </w:p>
    <w:p>
      <w:pPr>
        <w:autoSpaceDN w:val="0"/>
        <w:autoSpaceDE w:val="0"/>
        <w:widowControl/>
        <w:spacing w:line="245" w:lineRule="auto" w:before="240" w:after="4"/>
        <w:ind w:left="339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individual who, being a member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Institute of Chartered Accountants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Sri Lanka or of any other institute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by law, possesses a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3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the Council of such Institute;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3052" w:val="left"/>
          <w:tab w:pos="3398" w:val="left"/>
        </w:tabs>
        <w:autoSpaceDE w:val="0"/>
        <w:widowControl/>
        <w:spacing w:line="247" w:lineRule="auto" w:before="226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firm of Accountants, each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resident partners of which,being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Institute of Chartered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Accountants of Sri Lanka or of any other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  <w:tab w:pos="3468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204"/>
        <w:ind w:left="33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issued by the Council 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Corporation,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0" w:after="20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any other institution having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to those of the Corporation, and which, is 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thereof, prohibited from distributing any income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among its members. The members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shall decide the said institution or institutions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time of dissolution of the Corporation or prior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be in the custody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President and it shall not be affixed to any instrument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whatsoever, except in the presence of chairman and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>instrument in token of their presence and such signing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independent of the signing of any person as a witness.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 in this Act contained 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Kelaniya Buddhist Women's Charitable Society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206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