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2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22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470" w:after="0"/>
        <w:ind w:left="2592" w:right="273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AKURANA BAITHUZ ZAKATH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300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74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58" w:after="0"/>
        <w:ind w:left="0" w:right="270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Akurana Baithuz Zakath</w:t>
      </w:r>
    </w:p>
    <w:p>
      <w:pPr>
        <w:autoSpaceDN w:val="0"/>
        <w:autoSpaceDE w:val="0"/>
        <w:widowControl/>
        <w:spacing w:line="238" w:lineRule="auto" w:before="30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8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Imran Maharoof, M.P.  for Trincomalee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07th of October 2021</w:t>
      </w:r>
    </w:p>
    <w:p>
      <w:pPr>
        <w:autoSpaceDN w:val="0"/>
        <w:autoSpaceDE w:val="0"/>
        <w:widowControl/>
        <w:spacing w:line="235" w:lineRule="auto" w:before="254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27,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4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80]</w:t>
      </w:r>
    </w:p>
    <w:p>
      <w:pPr>
        <w:autoSpaceDN w:val="0"/>
        <w:tabs>
          <w:tab w:pos="2394" w:val="left"/>
          <w:tab w:pos="2618" w:val="left"/>
          <w:tab w:pos="5948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790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Akurana Baithuz Zakath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0" w:lineRule="auto" w:before="262" w:after="0"/>
        <w:ind w:left="2736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KURANA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14"/>
        </w:rPr>
        <w:t>AITHUZ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Z</w:t>
      </w:r>
      <w:r>
        <w:rPr>
          <w:rFonts w:ascii="Times" w:hAnsi="Times" w:eastAsia="Times"/>
          <w:b w:val="0"/>
          <w:i w:val="0"/>
          <w:color w:val="221F1F"/>
          <w:sz w:val="14"/>
        </w:rPr>
        <w:t>AKATH</w:t>
      </w:r>
    </w:p>
    <w:p>
      <w:pPr>
        <w:autoSpaceDN w:val="0"/>
        <w:tabs>
          <w:tab w:pos="6718" w:val="left"/>
        </w:tabs>
        <w:autoSpaceDE w:val="0"/>
        <w:widowControl/>
        <w:spacing w:line="259" w:lineRule="auto" w:before="282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Organization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“Akurana Baithuz Zakath” has heretofore been formed 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 for the purpose of effectually carrying out its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transacting all matters connected  with the said</w:t>
      </w:r>
    </w:p>
    <w:p>
      <w:pPr>
        <w:autoSpaceDN w:val="0"/>
        <w:tabs>
          <w:tab w:pos="1798" w:val="left"/>
        </w:tabs>
        <w:autoSpaceDE w:val="0"/>
        <w:widowControl/>
        <w:spacing w:line="274" w:lineRule="auto" w:before="2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  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4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a several objects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for which it was established,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incorporated, and it will be expedient in public interest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 :</w:t>
      </w:r>
    </w:p>
    <w:p>
      <w:pPr>
        <w:autoSpaceDN w:val="0"/>
        <w:autoSpaceDE w:val="0"/>
        <w:widowControl/>
        <w:spacing w:line="252" w:lineRule="auto" w:before="278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Akurana Baithuz Zakath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2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 the Akurana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Akurana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Baithuz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Baithuz Zakath (hereinafter referred to as the “Organization”)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Zakath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shall hereafter be admitted as members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4" w:after="218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constituted, shall be a body corporate with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under the name and style of  the “Akurana Baithuz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Zakath” (hereinafter referred to as the  “Corporation”) and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name may sue and be sued, with full power and  authority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 and  use a common seal and to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9" w:lineRule="auto" w:before="64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eliminate poverty and to collect Zakath (annual </w:t>
      </w:r>
      <w:r>
        <w:rPr>
          <w:rFonts w:ascii="Times" w:hAnsi="Times" w:eastAsia="Times"/>
          <w:b w:val="0"/>
          <w:i w:val="0"/>
          <w:color w:val="221F1F"/>
          <w:sz w:val="20"/>
        </w:rPr>
        <w:t>donation) fund and distribute according to Islamic</w:t>
      </w:r>
      <w:r>
        <w:rPr>
          <w:rFonts w:ascii="Times" w:hAnsi="Times" w:eastAsia="Times"/>
          <w:b w:val="0"/>
          <w:i w:val="0"/>
          <w:color w:val="221F1F"/>
          <w:sz w:val="20"/>
        </w:rPr>
        <w:t>‘Sharia’ Law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6" w:val="left"/>
          <w:tab w:pos="3466" w:val="left"/>
        </w:tabs>
        <w:autoSpaceDE w:val="0"/>
        <w:widowControl/>
        <w:spacing w:line="245" w:lineRule="auto" w:before="0" w:after="0"/>
        <w:ind w:left="1702" w:right="38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Akurana Baithuz Zakath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the conditions of religious, health, educational,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cultural, social and economical development;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172" w:after="0"/>
        <w:ind w:left="19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contribute to achieve racial and communal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harmony; and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174" w:after="198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 and things as are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incidental or conducive to the attainment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above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in force for the time being of the Corporation,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administered by a Board of Management elected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2" w:after="2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Board of Management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consist of the members of the Board of Management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the Organization holding office on the day preceding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commencement of 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 necessary or desirable for the furtherance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objects  or any one of them, including the power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open, operate and close bank accounts, to borrow or raise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with or without security, to receive or collect grants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donations, to invest its funds, to erect any building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structure on any land held by the Corporation, and to engage,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 and dismiss officers and servants required for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carrying out of the objects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at any general meeting and by the votes of not less than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thirds of the members present and voting, to make rules,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inconsistent with the provision of this Act or any other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for the admission, withdrawal or expulsion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members, the election of the Board of Management,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of the duties of the office bearers, agents and servants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Corporation, for the procedure to be followed in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32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Akurana Baithuz Zakath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 of business by the Corporation and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generally, for the management of the affairs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and the accomplishment of its objects.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rules when made may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 be altered, added to, amended or rescinded.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76" w:after="23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members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gift, bequest, donation, transfer,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 or fees shall be deposited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 of the Corporation in one or more Banks as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of Trustees shall determine.</w:t>
      </w:r>
    </w:p>
    <w:p>
      <w:pPr>
        <w:autoSpaceDN w:val="0"/>
        <w:autoSpaceDE w:val="0"/>
        <w:widowControl/>
        <w:spacing w:line="254" w:lineRule="auto" w:before="292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Corporation, </w:t>
      </w:r>
      <w:r>
        <w:rPr>
          <w:rFonts w:ascii="Times" w:hAnsi="Times" w:eastAsia="Times"/>
          <w:b w:val="0"/>
          <w:i w:val="0"/>
          <w:color w:val="221F1F"/>
          <w:sz w:val="20"/>
        </w:rPr>
        <w:t>all such sums of money as may be required to defray any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3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incurred by the Corporation in carrying out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23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moneys and property of the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whosesoever derived shall be applied solely towards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 of the objects as setforth herein and no portion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otherwise, to any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 may be determined by the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6" w:val="left"/>
          <w:tab w:pos="3466" w:val="left"/>
        </w:tabs>
        <w:autoSpaceDE w:val="0"/>
        <w:widowControl/>
        <w:spacing w:line="245" w:lineRule="auto" w:before="0" w:after="0"/>
        <w:ind w:left="1702" w:right="38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Akurana Baithuz Zakath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6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section, “Qualified Auditor” means —</w:t>
      </w:r>
    </w:p>
    <w:p>
      <w:pPr>
        <w:autoSpaceDN w:val="0"/>
        <w:tabs>
          <w:tab w:pos="2782" w:val="left"/>
          <w:tab w:pos="2792" w:val="left"/>
        </w:tabs>
        <w:autoSpaceDE w:val="0"/>
        <w:widowControl/>
        <w:spacing w:line="254" w:lineRule="auto" w:before="276" w:after="0"/>
        <w:ind w:left="238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other institute established by law,</w:t>
      </w:r>
    </w:p>
    <w:p>
      <w:pPr>
        <w:autoSpaceDN w:val="0"/>
        <w:tabs>
          <w:tab w:pos="2782" w:val="left"/>
        </w:tabs>
        <w:autoSpaceDE w:val="0"/>
        <w:widowControl/>
        <w:spacing w:line="254" w:lineRule="auto" w:before="2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386" w:val="left"/>
          <w:tab w:pos="2782" w:val="left"/>
          <w:tab w:pos="2792" w:val="left"/>
        </w:tabs>
        <w:autoSpaceDE w:val="0"/>
        <w:widowControl/>
        <w:spacing w:line="259" w:lineRule="auto" w:before="276" w:after="2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2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or a member of the Board as may by duly authorized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Board and another member of the Board  who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 their names on the instrument in token of their presence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signing shall be independent of the signing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as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Corporatin shall, for the purpose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discharging the debts and liabilities of the Corporation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2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the amount of annual subscription payable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21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him to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Organization existing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5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constituted,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Organization on that day shall be paid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196"/>
        <w:ind w:left="320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Akurana Baithuz Zakath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and hold any property movable or immovable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on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and subject to the rules in force for the time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9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of the Corporation with full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112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and which is or are by the rules thereof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distributing any income or property among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or their members. Such Institution or Institutions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Board at or immediately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person,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20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person shall be liable in any suit or other legal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Indemnity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for any act done, or purporting to be done,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acts done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good faith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 faith in pursuance of the powers conferred by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or for the purpose of carrying out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6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Akurana Baithuz Zakath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84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