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9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28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8"/>
        </w:rPr>
        <w:t>SRI LANKA</w:t>
      </w:r>
    </w:p>
    <w:p>
      <w:pPr>
        <w:autoSpaceDN w:val="0"/>
        <w:autoSpaceDE w:val="0"/>
        <w:widowControl/>
        <w:spacing w:line="238" w:lineRule="auto" w:before="134" w:after="0"/>
        <w:ind w:left="0" w:right="310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October 01, 2021</w:t>
      </w:r>
    </w:p>
    <w:p>
      <w:pPr>
        <w:autoSpaceDN w:val="0"/>
        <w:autoSpaceDE w:val="0"/>
        <w:widowControl/>
        <w:spacing w:line="238" w:lineRule="auto" w:before="138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136" w:after="0"/>
        <w:ind w:left="0" w:right="334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07.10.2021)</w:t>
      </w:r>
    </w:p>
    <w:p>
      <w:pPr>
        <w:autoSpaceDN w:val="0"/>
        <w:autoSpaceDE w:val="0"/>
        <w:widowControl/>
        <w:spacing w:line="240" w:lineRule="auto" w:before="316" w:after="0"/>
        <w:ind w:left="0" w:right="384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87400" cy="1054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05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62" w:after="0"/>
        <w:ind w:left="0" w:right="250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APPROPRIATION (AMENDMENT)</w:t>
      </w:r>
    </w:p>
    <w:p>
      <w:pPr>
        <w:autoSpaceDN w:val="0"/>
        <w:autoSpaceDE w:val="0"/>
        <w:widowControl/>
        <w:spacing w:line="238" w:lineRule="auto" w:before="408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420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92" w:after="0"/>
        <w:ind w:left="0" w:right="252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Appropriation Act, No. 7 of 2020</w:t>
      </w:r>
    </w:p>
    <w:p>
      <w:pPr>
        <w:autoSpaceDN w:val="0"/>
        <w:autoSpaceDE w:val="0"/>
        <w:widowControl/>
        <w:spacing w:line="235" w:lineRule="auto" w:before="712" w:after="0"/>
        <w:ind w:left="0" w:right="23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Finance</w:t>
      </w:r>
    </w:p>
    <w:p>
      <w:pPr>
        <w:autoSpaceDN w:val="0"/>
        <w:autoSpaceDE w:val="0"/>
        <w:widowControl/>
        <w:spacing w:line="238" w:lineRule="auto" w:before="760" w:after="0"/>
        <w:ind w:left="0" w:right="259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8" w:val="left"/>
        </w:tabs>
        <w:autoSpaceDE w:val="0"/>
        <w:widowControl/>
        <w:spacing w:line="235" w:lineRule="auto" w:before="212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74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6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35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14" w:after="0"/>
        <w:ind w:left="1350" w:right="1428" w:firstLine="26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</w:t>
      </w:r>
      <w:r>
        <w:rPr>
          <w:rFonts w:ascii="Times" w:hAnsi="Times" w:eastAsia="Times"/>
          <w:b w:val="0"/>
          <w:i w:val="0"/>
          <w:color w:val="221F1F"/>
          <w:sz w:val="16"/>
        </w:rPr>
        <w:t>: This clause amends paragraph 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of subsection (1) of section 2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Appropriation Act, No. 7 of 2020, and the legal effect of section as amended is to increase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borrowing limit of rupees two thousand nine hundred ninety seven billion to rupees </w:t>
      </w:r>
      <w:r>
        <w:rPr>
          <w:rFonts w:ascii="Times" w:hAnsi="Times" w:eastAsia="Times"/>
          <w:b w:val="0"/>
          <w:i w:val="0"/>
          <w:color w:val="221F1F"/>
          <w:sz w:val="16"/>
        </w:rPr>
        <w:t>three thousand three hundred ninety seven billion.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344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5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(Amendment)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 – O. 57/2021</w:t>
      </w:r>
    </w:p>
    <w:p>
      <w:pPr>
        <w:autoSpaceDN w:val="0"/>
        <w:autoSpaceDE w:val="0"/>
        <w:widowControl/>
        <w:spacing w:line="235" w:lineRule="auto" w:before="254" w:after="0"/>
        <w:ind w:left="20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PPROPRIATION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7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2020</w:t>
      </w:r>
    </w:p>
    <w:p>
      <w:pPr>
        <w:autoSpaceDN w:val="0"/>
        <w:autoSpaceDE w:val="0"/>
        <w:widowControl/>
        <w:spacing w:line="245" w:lineRule="auto" w:before="254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Appropriation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No.....of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the Appropriation Act, No. 7 of 2020 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 thereof,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 No. 7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words, “rupees two thousand nine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2020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hundred ninety seven billion” of the words “rupees three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thousand three  hundred ninety seven billion”.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 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2"/>
        <w:ind w:left="0" w:right="0"/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34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(Amendment)</w:t>
            </w:r>
          </w:p>
        </w:tc>
      </w:tr>
    </w:tbl>
    <w:p>
      <w:pPr>
        <w:autoSpaceDN w:val="0"/>
        <w:autoSpaceDE w:val="0"/>
        <w:widowControl/>
        <w:spacing w:line="235" w:lineRule="auto" w:before="8902" w:after="0"/>
        <w:ind w:left="0" w:right="330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